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6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500"/>
              <w:left w:type="dxa" w:w="400"/>
              <w:bottom w:type="dxa" w:w="500"/>
              <w:right w:type="dxa" w:w="400"/>
            </w:tcMar>
          </w:tcPr>
          <w:p>
            <w:pPr>
              <w:spacing w:after="160"/>
            </w:pPr>
            <w:r>
              <w:rPr>
                <w:rFonts w:ascii="Marianne" w:cs="Marianne" w:eastAsia="Marianne" w:hAnsi="Marianne"/>
                <w:caps/>
                <w:color w:val="FFFFFF"/>
                <w:spacing w:val="200"/>
                <w:sz w:val="20"/>
                <w:szCs w:val="20"/>
              </w:rPr>
              <w:t xml:space="preserve">DOSSIER COMPLET</w:t>
            </w:r>
          </w:p>
          <w:p>
            <w:pPr>
              <w:spacing w:after="120"/>
            </w:pPr>
            <w:r>
              <w:rPr>
                <w:rFonts w:ascii="Marianne" w:cs="Marianne" w:eastAsia="Marianne" w:hAnsi="Marianne"/>
                <w:b/>
                <w:bCs/>
                <w:color w:val="FFFFFF"/>
                <w:sz w:val="52"/>
                <w:szCs w:val="52"/>
              </w:rPr>
              <w:t xml:space="preserve">Vibe Lab</w:t>
            </w:r>
          </w:p>
          <w:p>
            <w:pPr>
              <w:spacing w:after="80"/>
            </w:pPr>
            <w:r>
              <w:rPr>
                <w:rFonts w:ascii="Marianne" w:cs="Marianne" w:eastAsia="Marianne" w:hAnsi="Marianne"/>
                <w:color w:val="E3E3FD"/>
                <w:sz w:val="24"/>
                <w:szCs w:val="24"/>
              </w:rPr>
              <w:t xml:space="preserve">Laboratoire de prototypage augmenté par l’IA</w:t>
            </w:r>
          </w:p>
          <w:p>
            <w:pPr>
              <w:spacing w:after="60"/>
            </w:pPr>
            <w:r>
              <w:rPr>
                <w:rFonts w:ascii="Marianne" w:cs="Marianne" w:eastAsia="Marianne" w:hAnsi="Marianne"/>
                <w:color w:val="E3E3FD"/>
                <w:sz w:val="20"/>
                <w:szCs w:val="20"/>
              </w:rPr>
              <w:t xml:space="preserve">Retour d’expérience · Proposition · Gouvernance · Feuille de route</w:t>
            </w:r>
          </w:p>
        </w:tc>
      </w:tr>
    </w:tbl>
    <w:p>
      <w:pPr>
        <w:spacing w:before="400" w:after="0"/>
      </w:pPr>
    </w:p>
    <w:p>
      <w:pPr>
        <w:spacing w:after="160" w:line="276"/>
        <w:jc w:val="both"/>
      </w:pPr>
      <w:r>
        <w:rPr>
          <w:rFonts w:ascii="Marianne" w:cs="Marianne" w:eastAsia="Marianne" w:hAnsi="Marianne"/>
          <w:b/>
          <w:bCs/>
          <w:i w:val="false"/>
          <w:iCs w:val="false"/>
          <w:color w:val="3A3A3A"/>
          <w:sz w:val="22"/>
          <w:szCs w:val="22"/>
        </w:rPr>
        <w:t xml:space="preserve">Bertrand Matgé</w:t>
      </w:r>
    </w:p>
    <w:p>
      <w:pPr>
        <w:spacing w:after="160" w:line="276"/>
        <w:jc w:val="both"/>
      </w:pPr>
      <w:r>
        <w:rPr>
          <w:rFonts w:ascii="Marianne" w:cs="Marianne" w:eastAsia="Marianne" w:hAnsi="Marianne"/>
          <w:b w:val="false"/>
          <w:bCs w:val="false"/>
          <w:i w:val="false"/>
          <w:iCs w:val="false"/>
          <w:color w:val="666666"/>
          <w:sz w:val="21"/>
          <w:szCs w:val="21"/>
        </w:rPr>
        <w:t xml:space="preserve">MIWEB — Mission Ingénierie du Web</w:t>
      </w:r>
    </w:p>
    <w:p>
      <w:pPr>
        <w:spacing w:after="160" w:line="276"/>
        <w:jc w:val="both"/>
      </w:pPr>
      <w:r>
        <w:rPr>
          <w:rFonts w:ascii="Marianne" w:cs="Marianne" w:eastAsia="Marianne" w:hAnsi="Marianne"/>
          <w:b w:val="false"/>
          <w:bCs w:val="false"/>
          <w:i w:val="false"/>
          <w:iCs w:val="false"/>
          <w:color w:val="666666"/>
          <w:sz w:val="21"/>
          <w:szCs w:val="21"/>
        </w:rPr>
        <w:t xml:space="preserve">Service du Numérique — Ministère de l’Économie et des Finances</w:t>
      </w:r>
    </w:p>
    <w:p>
      <w:pPr>
        <w:spacing w:after="160" w:line="276"/>
        <w:jc w:val="both"/>
      </w:pPr>
      <w:r>
        <w:rPr>
          <w:rFonts w:ascii="Marianne" w:cs="Marianne" w:eastAsia="Marianne" w:hAnsi="Marianne"/>
          <w:b w:val="false"/>
          <w:bCs w:val="false"/>
          <w:i w:val="false"/>
          <w:iCs w:val="false"/>
          <w:color w:val="666666"/>
          <w:sz w:val="21"/>
          <w:szCs w:val="21"/>
        </w:rPr>
        <w:t xml:space="preserve">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2"/>
                <w:szCs w:val="22"/>
              </w:rPr>
              <w:t xml:space="preserve">L’objectif n’est pas de tout faire — c’est de rendre possible ce qui ne l’était pas.</w:t>
            </w:r>
          </w:p>
        </w:tc>
      </w:tr>
    </w:tbl>
    <w:p>
      <w:r>
        <w:br w:type="page"/>
      </w:r>
    </w:p>
    <w:p>
      <w:pPr>
        <w:spacing w:before="200" w:after="80"/>
      </w:pPr>
      <w:r>
        <w:rPr>
          <w:rFonts w:ascii="Marianne" w:cs="Marianne" w:eastAsia="Marianne" w:hAnsi="Marianne"/>
          <w:caps/>
          <w:color w:val="000091"/>
          <w:spacing w:val="200"/>
          <w:sz w:val="18"/>
          <w:szCs w:val="18"/>
        </w:rPr>
        <w:t xml:space="preserve">PARTIE I</w:t>
      </w:r>
    </w:p>
    <w:p>
      <w:pPr>
        <w:pStyle w:val="Heading1"/>
        <w:spacing w:before="500" w:after="200"/>
      </w:pPr>
      <w:r>
        <w:rPr>
          <w:rFonts w:ascii="Marianne" w:cs="Marianne" w:eastAsia="Marianne" w:hAnsi="Marianne"/>
          <w:b/>
          <w:bCs/>
          <w:color w:val="000091"/>
          <w:sz w:val="32"/>
          <w:szCs w:val="32"/>
        </w:rPr>
        <w:t xml:space="preserve">Le constat : 6 mois d’expérimentation</w:t>
      </w:r>
    </w:p>
    <w:p>
      <w:pPr>
        <w:spacing w:before="100" w:after="0"/>
      </w:pPr>
    </w:p>
    <w:p>
      <w:pPr>
        <w:pStyle w:val="Heading2"/>
        <w:spacing w:before="360" w:after="160"/>
      </w:pPr>
      <w:r>
        <w:rPr>
          <w:rFonts w:ascii="Marianne" w:cs="Marianne" w:eastAsia="Marianne" w:hAnsi="Marianne"/>
          <w:b/>
          <w:bCs/>
          <w:color w:val="000091"/>
          <w:sz w:val="26"/>
          <w:szCs w:val="26"/>
        </w:rPr>
        <w:t xml:space="preserve">1. Synthèse exécutive</w:t>
      </w:r>
    </w:p>
    <w:p>
      <w:pPr>
        <w:spacing w:after="160" w:line="276"/>
        <w:jc w:val="both"/>
      </w:pPr>
      <w:r>
        <w:rPr>
          <w:rFonts w:ascii="Marianne" w:cs="Marianne" w:eastAsia="Marianne" w:hAnsi="Marianne"/>
          <w:b w:val="false"/>
          <w:bCs w:val="false"/>
          <w:i w:val="false"/>
          <w:iCs w:val="false"/>
          <w:color w:val="3A3A3A"/>
          <w:sz w:val="21"/>
          <w:szCs w:val="21"/>
        </w:rPr>
        <w:t xml:space="preserve">Entre septembre 2025 et février 2026, une démarche expérimentale de « vibe coding » — développement logiciel assisté par IA générative — a été menée au sein de la MIWEB. Un seul agent, équipé de Claude (Anthropic) et GitHub Copilot, a produit 8 outils numériques fonctionnels couvrant un spectre large : monitoring web, intelligence éditoriale, dataviz, enquêtes publiques, organigrammes, comparateurs de données ouvertes et outillage contributeur.</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single" w:color="CCCCCC" w:sz="1"/>
              <w:left w:val="single" w:color="CCCCCC" w:sz="1"/>
              <w:bottom w:val="single" w:color="CCCCCC" w:sz="1"/>
              <w:right w:val="single" w:color="CCCCCC" w:sz="1"/>
            </w:tcBorders>
            <w:shd w:fill="E3E3FD" w:val="clear"/>
            <w:tcMar>
              <w:top w:type="dxa" w:w="120"/>
              <w:left w:type="dxa" w:w="120"/>
              <w:bottom w:type="dxa" w:w="120"/>
              <w:right w:type="dxa" w:w="120"/>
            </w:tcMar>
          </w:tcPr>
          <w:p>
            <w:pPr>
              <w:spacing w:after="40"/>
              <w:jc w:val="center"/>
            </w:pPr>
            <w:r>
              <w:rPr>
                <w:rFonts w:ascii="Marianne" w:cs="Marianne" w:eastAsia="Marianne" w:hAnsi="Marianne"/>
                <w:b/>
                <w:bCs/>
                <w:color w:val="000091"/>
                <w:sz w:val="36"/>
                <w:szCs w:val="36"/>
              </w:rPr>
              <w:t xml:space="preserve">8</w:t>
            </w:r>
          </w:p>
          <w:p>
            <w:pPr>
              <w:spacing w:after="20"/>
              <w:jc w:val="center"/>
            </w:pPr>
            <w:r>
              <w:rPr>
                <w:rFonts w:ascii="Marianne" w:cs="Marianne" w:eastAsia="Marianne" w:hAnsi="Marianne"/>
                <w:b/>
                <w:bCs/>
                <w:color w:val="000091"/>
                <w:sz w:val="18"/>
                <w:szCs w:val="18"/>
              </w:rPr>
              <w:t xml:space="preserve">produits numériques</w:t>
            </w:r>
          </w:p>
          <w:p>
            <w:pPr>
              <w:jc w:val="center"/>
            </w:pPr>
            <w:r>
              <w:rPr>
                <w:rFonts w:ascii="Marianne" w:cs="Marianne" w:eastAsia="Marianne" w:hAnsi="Marianne"/>
                <w:i/>
                <w:iCs/>
                <w:color w:val="666666"/>
                <w:sz w:val="16"/>
                <w:szCs w:val="16"/>
              </w:rPr>
              <w:t xml:space="preserve">fonctionnels, testés, documentés</w:t>
            </w:r>
          </w:p>
        </w:tc>
        <w:tc>
          <w:tcPr>
            <w:tcW w:type="dxa" w:w="3008"/>
            <w:tcBorders>
              <w:top w:val="single" w:color="CCCCCC" w:sz="1"/>
              <w:left w:val="single" w:color="CCCCCC" w:sz="1"/>
              <w:bottom w:val="single" w:color="CCCCCC" w:sz="1"/>
              <w:right w:val="single" w:color="CCCCCC" w:sz="1"/>
            </w:tcBorders>
            <w:shd w:fill="E3E3FD" w:val="clear"/>
            <w:tcMar>
              <w:top w:type="dxa" w:w="120"/>
              <w:left w:type="dxa" w:w="120"/>
              <w:bottom w:type="dxa" w:w="120"/>
              <w:right w:type="dxa" w:w="120"/>
            </w:tcMar>
          </w:tcPr>
          <w:p>
            <w:pPr>
              <w:spacing w:after="40"/>
              <w:jc w:val="center"/>
            </w:pPr>
            <w:r>
              <w:rPr>
                <w:rFonts w:ascii="Marianne" w:cs="Marianne" w:eastAsia="Marianne" w:hAnsi="Marianne"/>
                <w:b/>
                <w:bCs/>
                <w:color w:val="000091"/>
                <w:sz w:val="36"/>
                <w:szCs w:val="36"/>
              </w:rPr>
              <w:t xml:space="preserve">~376 000</w:t>
            </w:r>
          </w:p>
          <w:p>
            <w:pPr>
              <w:spacing w:after="20"/>
              <w:jc w:val="center"/>
            </w:pPr>
            <w:r>
              <w:rPr>
                <w:rFonts w:ascii="Marianne" w:cs="Marianne" w:eastAsia="Marianne" w:hAnsi="Marianne"/>
                <w:b/>
                <w:bCs/>
                <w:color w:val="000091"/>
                <w:sz w:val="18"/>
                <w:szCs w:val="18"/>
              </w:rPr>
              <w:t xml:space="preserve">lignes de code</w:t>
            </w:r>
          </w:p>
          <w:p>
            <w:pPr>
              <w:jc w:val="center"/>
            </w:pPr>
            <w:r>
              <w:rPr>
                <w:rFonts w:ascii="Marianne" w:cs="Marianne" w:eastAsia="Marianne" w:hAnsi="Marianne"/>
                <w:i/>
                <w:iCs/>
                <w:color w:val="666666"/>
                <w:sz w:val="16"/>
                <w:szCs w:val="16"/>
              </w:rPr>
              <w:t xml:space="preserve">qualité professionnelle</w:t>
            </w:r>
          </w:p>
        </w:tc>
        <w:tc>
          <w:tcPr>
            <w:tcW w:type="dxa" w:w="3008"/>
            <w:tcBorders>
              <w:top w:val="single" w:color="CCCCCC" w:sz="1"/>
              <w:left w:val="single" w:color="CCCCCC" w:sz="1"/>
              <w:bottom w:val="single" w:color="CCCCCC" w:sz="1"/>
              <w:right w:val="single" w:color="CCCCCC" w:sz="1"/>
            </w:tcBorders>
            <w:shd w:fill="E3E3FD" w:val="clear"/>
            <w:tcMar>
              <w:top w:type="dxa" w:w="120"/>
              <w:left w:type="dxa" w:w="120"/>
              <w:bottom w:type="dxa" w:w="120"/>
              <w:right w:type="dxa" w:w="120"/>
            </w:tcMar>
          </w:tcPr>
          <w:p>
            <w:pPr>
              <w:spacing w:after="40"/>
              <w:jc w:val="center"/>
            </w:pPr>
            <w:r>
              <w:rPr>
                <w:rFonts w:ascii="Marianne" w:cs="Marianne" w:eastAsia="Marianne" w:hAnsi="Marianne"/>
                <w:b/>
                <w:bCs/>
                <w:color w:val="000091"/>
                <w:sz w:val="36"/>
                <w:szCs w:val="36"/>
              </w:rPr>
              <w:t xml:space="preserve">663 K€</w:t>
            </w:r>
          </w:p>
          <w:p>
            <w:pPr>
              <w:spacing w:after="20"/>
              <w:jc w:val="center"/>
            </w:pPr>
            <w:r>
              <w:rPr>
                <w:rFonts w:ascii="Marianne" w:cs="Marianne" w:eastAsia="Marianne" w:hAnsi="Marianne"/>
                <w:b/>
                <w:bCs/>
                <w:color w:val="000091"/>
                <w:sz w:val="18"/>
                <w:szCs w:val="18"/>
              </w:rPr>
              <w:t xml:space="preserve">coût presta. équiv.</w:t>
            </w:r>
          </w:p>
          <w:p>
            <w:pPr>
              <w:jc w:val="center"/>
            </w:pPr>
            <w:r>
              <w:rPr>
                <w:rFonts w:ascii="Marianne" w:cs="Marianne" w:eastAsia="Marianne" w:hAnsi="Marianne"/>
                <w:i/>
                <w:iCs/>
                <w:color w:val="666666"/>
                <w:sz w:val="16"/>
                <w:szCs w:val="16"/>
              </w:rPr>
              <w:t xml:space="preserve">1 105 jours-homme</w:t>
            </w:r>
          </w:p>
        </w:tc>
      </w:tr>
    </w:tbl>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single" w:color="CCCCCC" w:sz="1"/>
              <w:left w:val="single" w:color="CCCCCC" w:sz="1"/>
              <w:bottom w:val="single" w:color="CCCCCC" w:sz="1"/>
              <w:right w:val="single" w:color="CCCCCC" w:sz="1"/>
            </w:tcBorders>
            <w:shd w:fill="E3E3FD" w:val="clear"/>
            <w:tcMar>
              <w:top w:type="dxa" w:w="120"/>
              <w:left w:type="dxa" w:w="120"/>
              <w:bottom w:type="dxa" w:w="120"/>
              <w:right w:type="dxa" w:w="120"/>
            </w:tcMar>
          </w:tcPr>
          <w:p>
            <w:pPr>
              <w:spacing w:after="40"/>
              <w:jc w:val="center"/>
            </w:pPr>
            <w:r>
              <w:rPr>
                <w:rFonts w:ascii="Marianne" w:cs="Marianne" w:eastAsia="Marianne" w:hAnsi="Marianne"/>
                <w:b/>
                <w:bCs/>
                <w:color w:val="000091"/>
                <w:sz w:val="36"/>
                <w:szCs w:val="36"/>
              </w:rPr>
              <w:t xml:space="preserve">~80 K€</w:t>
            </w:r>
          </w:p>
          <w:p>
            <w:pPr>
              <w:spacing w:after="20"/>
              <w:jc w:val="center"/>
            </w:pPr>
            <w:r>
              <w:rPr>
                <w:rFonts w:ascii="Marianne" w:cs="Marianne" w:eastAsia="Marianne" w:hAnsi="Marianne"/>
                <w:b/>
                <w:bCs/>
                <w:color w:val="000091"/>
                <w:sz w:val="18"/>
                <w:szCs w:val="18"/>
              </w:rPr>
              <w:t xml:space="preserve">coût réel estimé</w:t>
            </w:r>
          </w:p>
          <w:p>
            <w:pPr>
              <w:jc w:val="center"/>
            </w:pPr>
            <w:r>
              <w:rPr>
                <w:rFonts w:ascii="Marianne" w:cs="Marianne" w:eastAsia="Marianne" w:hAnsi="Marianne"/>
                <w:i/>
                <w:iCs/>
                <w:color w:val="666666"/>
                <w:sz w:val="16"/>
                <w:szCs w:val="16"/>
              </w:rPr>
              <w:t xml:space="preserve">130 j/h, 1 agent + IA</w:t>
            </w:r>
          </w:p>
        </w:tc>
        <w:tc>
          <w:tcPr>
            <w:tcW w:type="dxa" w:w="3008"/>
            <w:tcBorders>
              <w:top w:val="single" w:color="CCCCCC" w:sz="1"/>
              <w:left w:val="single" w:color="CCCCCC" w:sz="1"/>
              <w:bottom w:val="single" w:color="CCCCCC" w:sz="1"/>
              <w:right w:val="single" w:color="CCCCCC" w:sz="1"/>
            </w:tcBorders>
            <w:shd w:fill="E3E3FD" w:val="clear"/>
            <w:tcMar>
              <w:top w:type="dxa" w:w="120"/>
              <w:left w:type="dxa" w:w="120"/>
              <w:bottom w:type="dxa" w:w="120"/>
              <w:right w:type="dxa" w:w="120"/>
            </w:tcMar>
          </w:tcPr>
          <w:p>
            <w:pPr>
              <w:spacing w:after="40"/>
              <w:jc w:val="center"/>
            </w:pPr>
            <w:r>
              <w:rPr>
                <w:rFonts w:ascii="Marianne" w:cs="Marianne" w:eastAsia="Marianne" w:hAnsi="Marianne"/>
                <w:b/>
                <w:bCs/>
                <w:color w:val="000091"/>
                <w:sz w:val="36"/>
                <w:szCs w:val="36"/>
              </w:rPr>
              <w:t xml:space="preserve">88 %</w:t>
            </w:r>
          </w:p>
          <w:p>
            <w:pPr>
              <w:spacing w:after="20"/>
              <w:jc w:val="center"/>
            </w:pPr>
            <w:r>
              <w:rPr>
                <w:rFonts w:ascii="Marianne" w:cs="Marianne" w:eastAsia="Marianne" w:hAnsi="Marianne"/>
                <w:b/>
                <w:bCs/>
                <w:color w:val="000091"/>
                <w:sz w:val="18"/>
                <w:szCs w:val="18"/>
              </w:rPr>
              <w:t xml:space="preserve">d’économie</w:t>
            </w:r>
          </w:p>
          <w:p>
            <w:pPr>
              <w:jc w:val="center"/>
            </w:pPr>
            <w:r>
              <w:rPr>
                <w:rFonts w:ascii="Marianne" w:cs="Marianne" w:eastAsia="Marianne" w:hAnsi="Marianne"/>
                <w:i/>
                <w:iCs/>
                <w:color w:val="666666"/>
                <w:sz w:val="16"/>
                <w:szCs w:val="16"/>
              </w:rPr>
              <w:t xml:space="preserve">vs. prestation classique</w:t>
            </w:r>
          </w:p>
        </w:tc>
        <w:tc>
          <w:tcPr>
            <w:tcW w:type="dxa" w:w="3008"/>
            <w:tcBorders>
              <w:top w:val="single" w:color="CCCCCC" w:sz="1"/>
              <w:left w:val="single" w:color="CCCCCC" w:sz="1"/>
              <w:bottom w:val="single" w:color="CCCCCC" w:sz="1"/>
              <w:right w:val="single" w:color="CCCCCC" w:sz="1"/>
            </w:tcBorders>
            <w:shd w:fill="E3E3FD" w:val="clear"/>
            <w:tcMar>
              <w:top w:type="dxa" w:w="120"/>
              <w:left w:type="dxa" w:w="120"/>
              <w:bottom w:type="dxa" w:w="120"/>
              <w:right w:type="dxa" w:w="120"/>
            </w:tcMar>
          </w:tcPr>
          <w:p>
            <w:pPr>
              <w:spacing w:after="40"/>
              <w:jc w:val="center"/>
            </w:pPr>
            <w:r>
              <w:rPr>
                <w:rFonts w:ascii="Marianne" w:cs="Marianne" w:eastAsia="Marianne" w:hAnsi="Marianne"/>
                <w:b/>
                <w:bCs/>
                <w:color w:val="000091"/>
                <w:sz w:val="36"/>
                <w:szCs w:val="36"/>
              </w:rPr>
              <w:t xml:space="preserve">6 mois</w:t>
            </w:r>
          </w:p>
          <w:p>
            <w:pPr>
              <w:spacing w:after="20"/>
              <w:jc w:val="center"/>
            </w:pPr>
            <w:r>
              <w:rPr>
                <w:rFonts w:ascii="Marianne" w:cs="Marianne" w:eastAsia="Marianne" w:hAnsi="Marianne"/>
                <w:b/>
                <w:bCs/>
                <w:color w:val="000091"/>
                <w:sz w:val="18"/>
                <w:szCs w:val="18"/>
              </w:rPr>
              <w:t xml:space="preserve">durée totale</w:t>
            </w:r>
          </w:p>
          <w:p>
            <w:pPr>
              <w:jc w:val="center"/>
            </w:pPr>
            <w:r>
              <w:rPr>
                <w:rFonts w:ascii="Marianne" w:cs="Marianne" w:eastAsia="Marianne" w:hAnsi="Marianne"/>
                <w:i/>
                <w:iCs/>
                <w:color w:val="666666"/>
                <w:sz w:val="16"/>
                <w:szCs w:val="16"/>
              </w:rPr>
              <w:t xml:space="preserve">initiative personnelle</w:t>
            </w:r>
          </w:p>
        </w:tc>
      </w:tr>
    </w:tbl>
    <w:p>
      <w:pPr>
        <w:spacing w:before="100" w:after="0"/>
      </w:pPr>
    </w:p>
    <w:p>
      <w:pPr>
        <w:spacing w:after="160" w:line="276"/>
        <w:jc w:val="both"/>
      </w:pPr>
      <w:r>
        <w:rPr>
          <w:rFonts w:ascii="Marianne" w:cs="Marianne" w:eastAsia="Marianne" w:hAnsi="Marianne"/>
          <w:b w:val="false"/>
          <w:bCs w:val="false"/>
          <w:i w:val="false"/>
          <w:iCs w:val="false"/>
          <w:color w:val="3A3A3A"/>
          <w:sz w:val="21"/>
          <w:szCs w:val="21"/>
        </w:rPr>
        <w:t xml:space="preserve">Ce dossier détaille les réalisations, analyse la qualité du code produit, et propose la création d’un Vibe Lab structuré : 1 à 3 agents dédiés à temps plein, un investissement en licences plafonné à ~1 000 €/mois, et un accès à l’infrastructure de déploiement existante.</w:t>
      </w:r>
    </w:p>
    <w:p>
      <w:pPr>
        <w:pStyle w:val="Heading2"/>
        <w:spacing w:before="360" w:after="160"/>
      </w:pPr>
      <w:r>
        <w:rPr>
          <w:rFonts w:ascii="Marianne" w:cs="Marianne" w:eastAsia="Marianne" w:hAnsi="Marianne"/>
          <w:b/>
          <w:bCs/>
          <w:color w:val="000091"/>
          <w:sz w:val="26"/>
          <w:szCs w:val="26"/>
        </w:rPr>
        <w:t xml:space="preserve">2. Le vibe coding : un tandem humain-IA</w:t>
      </w:r>
    </w:p>
    <w:p>
      <w:pPr>
        <w:spacing w:after="160" w:line="276"/>
        <w:jc w:val="both"/>
      </w:pPr>
      <w:r>
        <w:rPr>
          <w:rFonts w:ascii="Marianne" w:cs="Marianne" w:eastAsia="Marianne" w:hAnsi="Marianne"/>
          <w:b w:val="false"/>
          <w:bCs w:val="false"/>
          <w:i w:val="false"/>
          <w:iCs w:val="false"/>
          <w:color w:val="3A3A3A"/>
          <w:sz w:val="21"/>
          <w:szCs w:val="21"/>
        </w:rPr>
        <w:t xml:space="preserve">Le vibe coding est une approche de développement dans laquelle un professionnel collabore avec un modèle d’IA générative pour produire du code. L’humain définit l’intention, l’architecture et les contraintes métier. L’IA génère, itère et corrige le code en temps réel. Ce tandem multiplie la productivité d’un profil tech/produit par un facteur estimé entre 5 et 10.</w:t>
      </w:r>
    </w:p>
    <w:p>
      <w:pPr>
        <w:spacing w:after="160" w:line="276"/>
        <w:jc w:val="both"/>
      </w:pPr>
      <w:r>
        <w:rPr>
          <w:rFonts w:ascii="Marianne" w:cs="Marianne" w:eastAsia="Marianne" w:hAnsi="Marianne"/>
          <w:b/>
          <w:bCs/>
          <w:i w:val="false"/>
          <w:iCs w:val="false"/>
          <w:color w:val="3A3A3A"/>
          <w:sz w:val="21"/>
          <w:szCs w:val="21"/>
        </w:rPr>
        <w:t xml:space="preserve">Période : </w:t>
      </w:r>
      <w:r>
        <w:rPr>
          <w:rFonts w:ascii="Marianne" w:cs="Marianne" w:eastAsia="Marianne" w:hAnsi="Marianne"/>
          <w:b w:val="false"/>
          <w:bCs w:val="false"/>
          <w:i w:val="false"/>
          <w:iCs w:val="false"/>
          <w:color w:val="3A3A3A"/>
          <w:sz w:val="21"/>
          <w:szCs w:val="21"/>
        </w:rPr>
        <w:t xml:space="preserve">septembre 2025 – février 2026 (6 mois). </w:t>
      </w:r>
      <w:r>
        <w:rPr>
          <w:rFonts w:ascii="Marianne" w:cs="Marianne" w:eastAsia="Marianne" w:hAnsi="Marianne"/>
          <w:b/>
          <w:bCs/>
          <w:i w:val="false"/>
          <w:iCs w:val="false"/>
          <w:color w:val="3A3A3A"/>
          <w:sz w:val="21"/>
          <w:szCs w:val="21"/>
        </w:rPr>
        <w:t xml:space="preserve">Ressource : </w:t>
      </w:r>
      <w:r>
        <w:rPr>
          <w:rFonts w:ascii="Marianne" w:cs="Marianne" w:eastAsia="Marianne" w:hAnsi="Marianne"/>
          <w:b w:val="false"/>
          <w:bCs w:val="false"/>
          <w:i w:val="false"/>
          <w:iCs w:val="false"/>
          <w:color w:val="3A3A3A"/>
          <w:sz w:val="21"/>
          <w:szCs w:val="21"/>
        </w:rPr>
        <w:t xml:space="preserve">1 agent public (profil tech/produit, responsable MIWEB). </w:t>
      </w:r>
      <w:r>
        <w:rPr>
          <w:rFonts w:ascii="Marianne" w:cs="Marianne" w:eastAsia="Marianne" w:hAnsi="Marianne"/>
          <w:b/>
          <w:bCs/>
          <w:i w:val="false"/>
          <w:iCs w:val="false"/>
          <w:color w:val="3A3A3A"/>
          <w:sz w:val="21"/>
          <w:szCs w:val="21"/>
        </w:rPr>
        <w:t xml:space="preserve">Outils IA : </w:t>
      </w:r>
      <w:r>
        <w:rPr>
          <w:rFonts w:ascii="Marianne" w:cs="Marianne" w:eastAsia="Marianne" w:hAnsi="Marianne"/>
          <w:b w:val="false"/>
          <w:bCs w:val="false"/>
          <w:i w:val="false"/>
          <w:iCs w:val="false"/>
          <w:color w:val="3A3A3A"/>
          <w:sz w:val="21"/>
          <w:szCs w:val="21"/>
        </w:rPr>
        <w:t xml:space="preserve">Claude (Anthropic) + GitHub Copilot. </w:t>
      </w:r>
      <w:r>
        <w:rPr>
          <w:rFonts w:ascii="Marianne" w:cs="Marianne" w:eastAsia="Marianne" w:hAnsi="Marianne"/>
          <w:b/>
          <w:bCs/>
          <w:i w:val="false"/>
          <w:iCs w:val="false"/>
          <w:color w:val="3A3A3A"/>
          <w:sz w:val="21"/>
          <w:szCs w:val="21"/>
        </w:rPr>
        <w:t xml:space="preserve">Cadre : </w:t>
      </w:r>
      <w:r>
        <w:rPr>
          <w:rFonts w:ascii="Marianne" w:cs="Marianne" w:eastAsia="Marianne" w:hAnsi="Marianne"/>
          <w:b w:val="false"/>
          <w:bCs w:val="false"/>
          <w:i w:val="false"/>
          <w:iCs w:val="false"/>
          <w:color w:val="3A3A3A"/>
          <w:sz w:val="21"/>
          <w:szCs w:val="21"/>
        </w:rPr>
        <w:t xml:space="preserve">initiative personnelle, sans budget dédié ni équipe projet. </w:t>
      </w:r>
      <w:r>
        <w:rPr>
          <w:rFonts w:ascii="Marianne" w:cs="Marianne" w:eastAsia="Marianne" w:hAnsi="Marianne"/>
          <w:b/>
          <w:bCs/>
          <w:i w:val="false"/>
          <w:iCs w:val="false"/>
          <w:color w:val="3A3A3A"/>
          <w:sz w:val="21"/>
          <w:szCs w:val="21"/>
        </w:rPr>
        <w:t xml:space="preserve">Contrainte : </w:t>
      </w:r>
      <w:r>
        <w:rPr>
          <w:rFonts w:ascii="Marianne" w:cs="Marianne" w:eastAsia="Marianne" w:hAnsi="Marianne"/>
          <w:b w:val="false"/>
          <w:bCs w:val="false"/>
          <w:i w:val="false"/>
          <w:iCs w:val="false"/>
          <w:color w:val="3A3A3A"/>
          <w:sz w:val="21"/>
          <w:szCs w:val="21"/>
        </w:rPr>
        <w:t xml:space="preserve">respect systématique du DSFR, des standards RGAA et des préconisations ANSSI.</w:t>
      </w:r>
    </w:p>
    <w:p>
      <w:pPr>
        <w:pStyle w:val="Heading2"/>
        <w:spacing w:before="360" w:after="160"/>
      </w:pPr>
      <w:r>
        <w:rPr>
          <w:rFonts w:ascii="Marianne" w:cs="Marianne" w:eastAsia="Marianne" w:hAnsi="Marianne"/>
          <w:b/>
          <w:bCs/>
          <w:color w:val="000091"/>
          <w:sz w:val="26"/>
          <w:szCs w:val="26"/>
        </w:rPr>
        <w:t xml:space="preserve">3. Inventaire des réalisations</w:t>
      </w:r>
    </w:p>
    <w:p>
      <w:pPr>
        <w:spacing w:before="240" w:after="120"/>
      </w:pPr>
      <w:r>
        <w:rPr>
          <w:rFonts w:ascii="Marianne" w:cs="Marianne" w:eastAsia="Marianne" w:hAnsi="Marianne"/>
          <w:b/>
          <w:bCs/>
          <w:color w:val="3A3A3A"/>
          <w:sz w:val="22"/>
          <w:szCs w:val="22"/>
        </w:rPr>
        <w:t xml:space="preserve">3.1 Écosystème (G3) — Monitoring et gouvernance web</w:t>
      </w:r>
    </w:p>
    <w:p>
      <w:pPr>
        <w:spacing w:after="160" w:line="276"/>
        <w:jc w:val="both"/>
      </w:pPr>
      <w:r>
        <w:rPr>
          <w:rFonts w:ascii="Marianne" w:cs="Marianne" w:eastAsia="Marianne" w:hAnsi="Marianne"/>
          <w:b w:val="false"/>
          <w:bCs w:val="false"/>
          <w:i w:val="false"/>
          <w:iCs w:val="false"/>
          <w:color w:val="3A3A3A"/>
          <w:sz w:val="21"/>
          <w:szCs w:val="21"/>
        </w:rPr>
        <w:t xml:space="preserve">Plateforme de monitoring de l’ensemble des sites web ministériels. Inventaire centralisé, 18 scanners automatisés (SSL, accessibilité, performance, RGPD, DSFR), système d’alertes multi-niveaux, gestion des certificats SSL, KPI consolidés, assistant IA intégré, serveur MCP, administration complète avec RBAC.</w:t>
      </w:r>
    </w:p>
    <w:p>
      <w:pPr>
        <w:spacing w:after="160" w:line="276"/>
        <w:jc w:val="both"/>
      </w:pPr>
      <w:r>
        <w:rPr>
          <w:rFonts w:ascii="Marianne" w:cs="Marianne" w:eastAsia="Marianne" w:hAnsi="Marianne"/>
          <w:b/>
          <w:bCs/>
          <w:i w:val="false"/>
          <w:iCs w:val="false"/>
          <w:color w:val="000091"/>
          <w:sz w:val="21"/>
          <w:szCs w:val="21"/>
        </w:rPr>
        <w:t xml:space="preserve">~238 000 LOC • 520 j/h • 312 000 € équiv.</w:t>
      </w:r>
    </w:p>
    <w:p>
      <w:pPr>
        <w:spacing w:after="160" w:line="276"/>
        <w:jc w:val="both"/>
      </w:pPr>
      <w:r>
        <w:rPr>
          <w:rFonts w:ascii="Marianne" w:cs="Marianne" w:eastAsia="Marianne" w:hAnsi="Marianne"/>
          <w:b/>
          <w:bCs/>
          <w:i w:val="false"/>
          <w:iCs w:val="false"/>
          <w:color w:val="3A3A3A"/>
          <w:sz w:val="21"/>
          <w:szCs w:val="21"/>
        </w:rPr>
        <w:t xml:space="preserve">Stack : </w:t>
      </w:r>
      <w:r>
        <w:rPr>
          <w:rFonts w:ascii="Marianne" w:cs="Marianne" w:eastAsia="Marianne" w:hAnsi="Marianne"/>
          <w:b w:val="false"/>
          <w:bCs w:val="false"/>
          <w:i w:val="false"/>
          <w:iCs w:val="false"/>
          <w:color w:val="3A3A3A"/>
          <w:sz w:val="21"/>
          <w:szCs w:val="21"/>
        </w:rPr>
        <w:t xml:space="preserve">TypeScript 5.7, React 19, Express.js, PostgreSQL, Redis/BullMQ, Vite, DSFR, D3.js, Playwright, Docker/Traefik.</w:t>
      </w:r>
    </w:p>
    <w:p>
      <w:pPr>
        <w:spacing w:before="240" w:after="120"/>
      </w:pPr>
      <w:r>
        <w:rPr>
          <w:rFonts w:ascii="Marianne" w:cs="Marianne" w:eastAsia="Marianne" w:hAnsi="Marianne"/>
          <w:b/>
          <w:bCs/>
          <w:color w:val="3A3A3A"/>
          <w:sz w:val="22"/>
          <w:szCs w:val="22"/>
        </w:rPr>
        <w:t xml:space="preserve">3.2 Portail Eco Browser — Intelligence éditoriale</w:t>
      </w:r>
    </w:p>
    <w:p>
      <w:pPr>
        <w:spacing w:after="160" w:line="276"/>
        <w:jc w:val="both"/>
      </w:pPr>
      <w:r>
        <w:rPr>
          <w:rFonts w:ascii="Marianne" w:cs="Marianne" w:eastAsia="Marianne" w:hAnsi="Marianne"/>
          <w:b w:val="false"/>
          <w:bCs w:val="false"/>
          <w:i w:val="false"/>
          <w:iCs w:val="false"/>
          <w:color w:val="3A3A3A"/>
          <w:sz w:val="21"/>
          <w:szCs w:val="21"/>
        </w:rPr>
        <w:t xml:space="preserve">Outil d’exploration du portail economie.gouv.fr. Navigation dans le contenu Drupal, analytics multi-sources (Eulerian, Cloudflare, Google Search Console), clustering sémantique (HDBSCAN/UMAP), recherche RAG avec embeddings, trajectoires de trafic, diagnostics SEO, assistant IA Albert.</w:t>
      </w:r>
    </w:p>
    <w:p>
      <w:pPr>
        <w:spacing w:after="160" w:line="276"/>
        <w:jc w:val="both"/>
      </w:pPr>
      <w:r>
        <w:rPr>
          <w:rFonts w:ascii="Marianne" w:cs="Marianne" w:eastAsia="Marianne" w:hAnsi="Marianne"/>
          <w:b/>
          <w:bCs/>
          <w:i w:val="false"/>
          <w:iCs w:val="false"/>
          <w:color w:val="000091"/>
          <w:sz w:val="21"/>
          <w:szCs w:val="21"/>
        </w:rPr>
        <w:t xml:space="preserve">~88 500 LOC • 270 j/h • 162 000 € équiv.</w:t>
      </w:r>
    </w:p>
    <w:p>
      <w:pPr>
        <w:spacing w:after="160" w:line="276"/>
        <w:jc w:val="both"/>
      </w:pPr>
      <w:r>
        <w:rPr>
          <w:rFonts w:ascii="Marianne" w:cs="Marianne" w:eastAsia="Marianne" w:hAnsi="Marianne"/>
          <w:b/>
          <w:bCs/>
          <w:i w:val="false"/>
          <w:iCs w:val="false"/>
          <w:color w:val="3A3A3A"/>
          <w:sz w:val="21"/>
          <w:szCs w:val="21"/>
        </w:rPr>
        <w:t xml:space="preserve">Stack : </w:t>
      </w:r>
      <w:r>
        <w:rPr>
          <w:rFonts w:ascii="Marianne" w:cs="Marianne" w:eastAsia="Marianne" w:hAnsi="Marianne"/>
          <w:b w:val="false"/>
          <w:bCs w:val="false"/>
          <w:i w:val="false"/>
          <w:iCs w:val="false"/>
          <w:color w:val="3A3A3A"/>
          <w:sz w:val="21"/>
          <w:szCs w:val="21"/>
        </w:rPr>
        <w:t xml:space="preserve">React 18 + TypeScript (Vite), FastAPI + SQLAlchemy, Elasticsearch, Transformers/scikit-learn, DSFR, Docker Compose.</w:t>
      </w:r>
    </w:p>
    <w:p>
      <w:pPr>
        <w:spacing w:before="240" w:after="120"/>
      </w:pPr>
      <w:r>
        <w:rPr>
          <w:rFonts w:ascii="Marianne" w:cs="Marianne" w:eastAsia="Marianne" w:hAnsi="Marianne"/>
          <w:b/>
          <w:bCs/>
          <w:color w:val="3A3A3A"/>
          <w:sz w:val="22"/>
          <w:szCs w:val="22"/>
        </w:rPr>
        <w:t xml:space="preserve">3.3 ChartsBuilder (gouv-widgets) — Dataviz DSFR</w:t>
      </w:r>
    </w:p>
    <w:p>
      <w:pPr>
        <w:spacing w:after="160" w:line="276"/>
        <w:jc w:val="both"/>
      </w:pPr>
      <w:r>
        <w:rPr>
          <w:rFonts w:ascii="Marianne" w:cs="Marianne" w:eastAsia="Marianne" w:hAnsi="Marianne"/>
          <w:b w:val="false"/>
          <w:bCs w:val="false"/>
          <w:i w:val="false"/>
          <w:iCs w:val="false"/>
          <w:color w:val="3A3A3A"/>
          <w:sz w:val="21"/>
          <w:szCs w:val="21"/>
        </w:rPr>
        <w:t xml:space="preserve">Bibliothèque de 24 web components DSFR pour la dataviz gouvernementale. 5 connecteurs API (OpenDataSoft, data.gouv.fr, Grist, INSEE, REST générique), 8 applications (builder visuel, builder IA, playground, dashboard). Zéro JavaScript requis côté intégrateur. Publié sur npm.</w:t>
      </w:r>
    </w:p>
    <w:p>
      <w:pPr>
        <w:spacing w:after="160" w:line="276"/>
        <w:jc w:val="both"/>
      </w:pPr>
      <w:r>
        <w:rPr>
          <w:rFonts w:ascii="Marianne" w:cs="Marianne" w:eastAsia="Marianne" w:hAnsi="Marianne"/>
          <w:b/>
          <w:bCs/>
          <w:i w:val="false"/>
          <w:iCs w:val="false"/>
          <w:color w:val="000091"/>
          <w:sz w:val="21"/>
          <w:szCs w:val="21"/>
        </w:rPr>
        <w:t xml:space="preserve">~41 500 LOC • 200 j/h • 120 000 € équiv.</w:t>
      </w:r>
    </w:p>
    <w:p>
      <w:pPr>
        <w:spacing w:before="240" w:after="120"/>
      </w:pPr>
      <w:r>
        <w:rPr>
          <w:rFonts w:ascii="Marianne" w:cs="Marianne" w:eastAsia="Marianne" w:hAnsi="Marianne"/>
          <w:b/>
          <w:bCs/>
          <w:color w:val="3A3A3A"/>
          <w:sz w:val="22"/>
          <w:szCs w:val="22"/>
        </w:rPr>
        <w:t xml:space="preserve">3.4 Thème LimeSurvey DSFR + Plugins</w:t>
      </w:r>
    </w:p>
    <w:p>
      <w:pPr>
        <w:spacing w:after="160" w:line="276"/>
        <w:jc w:val="both"/>
      </w:pPr>
      <w:r>
        <w:rPr>
          <w:rFonts w:ascii="Marianne" w:cs="Marianne" w:eastAsia="Marianne" w:hAnsi="Marianne"/>
          <w:b w:val="false"/>
          <w:bCs w:val="false"/>
          <w:i w:val="false"/>
          <w:iCs w:val="false"/>
          <w:color w:val="3A3A3A"/>
          <w:sz w:val="21"/>
          <w:szCs w:val="21"/>
        </w:rPr>
        <w:t xml:space="preserve">Thème DSFR complet pour LimeSurvey avec plugin ConversationIA (Albert), plugin DSFRMail pour les emails ministériels, et type de question avancé (ranking). Documentation exhaustive (60 Ko+).</w:t>
      </w:r>
    </w:p>
    <w:p>
      <w:pPr>
        <w:spacing w:after="160" w:line="276"/>
        <w:jc w:val="both"/>
      </w:pPr>
      <w:r>
        <w:rPr>
          <w:rFonts w:ascii="Marianne" w:cs="Marianne" w:eastAsia="Marianne" w:hAnsi="Marianne"/>
          <w:b/>
          <w:bCs/>
          <w:i w:val="false"/>
          <w:iCs w:val="false"/>
          <w:color w:val="000091"/>
          <w:sz w:val="21"/>
          <w:szCs w:val="21"/>
        </w:rPr>
        <w:t xml:space="preserve">45 j/h • 27 000 € équiv.</w:t>
      </w:r>
    </w:p>
    <w:p>
      <w:pPr>
        <w:spacing w:before="240" w:after="120"/>
      </w:pPr>
      <w:r>
        <w:rPr>
          <w:rFonts w:ascii="Marianne" w:cs="Marianne" w:eastAsia="Marianne" w:hAnsi="Marianne"/>
          <w:b/>
          <w:bCs/>
          <w:color w:val="3A3A3A"/>
          <w:sz w:val="22"/>
          <w:szCs w:val="22"/>
        </w:rPr>
        <w:t xml:space="preserve">3.5 Organigrammes service public</w:t>
      </w:r>
    </w:p>
    <w:p>
      <w:pPr>
        <w:spacing w:after="160" w:line="276"/>
        <w:jc w:val="both"/>
      </w:pPr>
      <w:r>
        <w:rPr>
          <w:rFonts w:ascii="Marianne" w:cs="Marianne" w:eastAsia="Marianne" w:hAnsi="Marianne"/>
          <w:b w:val="false"/>
          <w:bCs w:val="false"/>
          <w:i w:val="false"/>
          <w:iCs w:val="false"/>
          <w:color w:val="3A3A3A"/>
          <w:sz w:val="21"/>
          <w:szCs w:val="21"/>
        </w:rPr>
        <w:t xml:space="preserve">Générateur automatique d’organigrammes à partir de l’API Annuaire du service public. Recherche par organisme, construction BFS de l’arbre hiérarchique, deux modes de rendu (HTML/CSS et D3 interactif), filtrage par catégorie, export multi-format.</w:t>
      </w:r>
    </w:p>
    <w:p>
      <w:pPr>
        <w:spacing w:after="160" w:line="276"/>
        <w:jc w:val="both"/>
      </w:pPr>
      <w:r>
        <w:rPr>
          <w:rFonts w:ascii="Marianne" w:cs="Marianne" w:eastAsia="Marianne" w:hAnsi="Marianne"/>
          <w:b/>
          <w:bCs/>
          <w:i w:val="false"/>
          <w:iCs w:val="false"/>
          <w:color w:val="000091"/>
          <w:sz w:val="21"/>
          <w:szCs w:val="21"/>
        </w:rPr>
        <w:t xml:space="preserve">~500 LOC • 10 j/h • 6 000 € équiv.</w:t>
      </w:r>
    </w:p>
    <w:p>
      <w:pPr>
        <w:spacing w:before="240" w:after="120"/>
      </w:pPr>
      <w:r>
        <w:rPr>
          <w:rFonts w:ascii="Marianne" w:cs="Marianne" w:eastAsia="Marianne" w:hAnsi="Marianne"/>
          <w:b/>
          <w:bCs/>
          <w:color w:val="3A3A3A"/>
          <w:sz w:val="22"/>
          <w:szCs w:val="22"/>
        </w:rPr>
        <w:t xml:space="preserve">3.6 Comparateurs de données ouvertes</w:t>
      </w:r>
    </w:p>
    <w:p>
      <w:pPr>
        <w:spacing w:after="160" w:line="276"/>
        <w:jc w:val="both"/>
      </w:pPr>
      <w:r>
        <w:rPr>
          <w:rFonts w:ascii="Marianne" w:cs="Marianne" w:eastAsia="Marianne" w:hAnsi="Marianne"/>
          <w:b w:val="false"/>
          <w:bCs w:val="false"/>
          <w:i w:val="false"/>
          <w:iCs w:val="false"/>
          <w:color w:val="3A3A3A"/>
          <w:sz w:val="21"/>
          <w:szCs w:val="21"/>
        </w:rPr>
        <w:t xml:space="preserve">Deux démonstrateurs de services grand public basés sur les open data du ministère. Prix Contrôle Technique (carte choroplèthe, filtres multi-critères, observatoire statistique) et Tarifs Bancaires (wizard multi-étapes, comparaison côte à côte, export CSV). Les deux branchés sur l’API data.economie.gouv.fr.</w:t>
      </w:r>
    </w:p>
    <w:p>
      <w:pPr>
        <w:spacing w:after="160" w:line="276"/>
        <w:jc w:val="both"/>
      </w:pPr>
      <w:r>
        <w:rPr>
          <w:rFonts w:ascii="Marianne" w:cs="Marianne" w:eastAsia="Marianne" w:hAnsi="Marianne"/>
          <w:b/>
          <w:bCs/>
          <w:i w:val="false"/>
          <w:iCs w:val="false"/>
          <w:color w:val="000091"/>
          <w:sz w:val="21"/>
          <w:szCs w:val="21"/>
        </w:rPr>
        <w:t xml:space="preserve">~5 500 LOC • 45 j/h • 27 000 € équiv.</w:t>
      </w:r>
    </w:p>
    <w:p>
      <w:pPr>
        <w:spacing w:before="240" w:after="120"/>
      </w:pPr>
      <w:r>
        <w:rPr>
          <w:rFonts w:ascii="Marianne" w:cs="Marianne" w:eastAsia="Marianne" w:hAnsi="Marianne"/>
          <w:b/>
          <w:bCs/>
          <w:color w:val="3A3A3A"/>
          <w:sz w:val="22"/>
          <w:szCs w:val="22"/>
        </w:rPr>
        <w:t xml:space="preserve">3.7 LeFouineur — Extension navigateur</w:t>
      </w:r>
    </w:p>
    <w:p>
      <w:pPr>
        <w:spacing w:after="160" w:line="276"/>
        <w:jc w:val="both"/>
      </w:pPr>
      <w:r>
        <w:rPr>
          <w:rFonts w:ascii="Marianne" w:cs="Marianne" w:eastAsia="Marianne" w:hAnsi="Marianne"/>
          <w:b w:val="false"/>
          <w:bCs w:val="false"/>
          <w:i w:val="false"/>
          <w:iCs w:val="false"/>
          <w:color w:val="3A3A3A"/>
          <w:sz w:val="21"/>
          <w:szCs w:val="21"/>
        </w:rPr>
        <w:t xml:space="preserve">Extension navigateur (Manifest V3) d’alerte et d’analyse qualité pour les contributeurs web. Script de contenu analysant les pages visitées, interface popup, système de messagerie inter-composants. 90 Ko, zéro dépendance externe.</w:t>
      </w:r>
    </w:p>
    <w:p>
      <w:pPr>
        <w:spacing w:after="160" w:line="276"/>
        <w:jc w:val="both"/>
      </w:pPr>
      <w:r>
        <w:rPr>
          <w:rFonts w:ascii="Marianne" w:cs="Marianne" w:eastAsia="Marianne" w:hAnsi="Marianne"/>
          <w:b/>
          <w:bCs/>
          <w:i w:val="false"/>
          <w:iCs w:val="false"/>
          <w:color w:val="000091"/>
          <w:sz w:val="21"/>
          <w:szCs w:val="21"/>
        </w:rPr>
        <w:t xml:space="preserve">~2 000 LOC • 15 j/h • 9 000 € équiv.</w:t>
      </w:r>
    </w:p>
    <w:p>
      <w:pPr>
        <w:pStyle w:val="Heading2"/>
        <w:spacing w:before="360" w:after="160"/>
      </w:pPr>
      <w:r>
        <w:rPr>
          <w:rFonts w:ascii="Marianne" w:cs="Marianne" w:eastAsia="Marianne" w:hAnsi="Marianne"/>
          <w:b/>
          <w:bCs/>
          <w:color w:val="000091"/>
          <w:sz w:val="26"/>
          <w:szCs w:val="26"/>
        </w:rPr>
        <w:t xml:space="preserve">4. Synthèse des coûts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6"/>
        <w:gridCol w:w="2256"/>
        <w:gridCol w:w="2256"/>
      </w:tblGrid>
      <w:tr>
        <w:tc>
          <w:tcPr>
            <w:tcW w:type="dxa" w:w="2256"/>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Projet</w:t>
            </w:r>
          </w:p>
        </w:tc>
        <w:tc>
          <w:tcPr>
            <w:tcW w:type="dxa" w:w="2256"/>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LOC</w:t>
            </w:r>
          </w:p>
        </w:tc>
        <w:tc>
          <w:tcPr>
            <w:tcW w:type="dxa" w:w="2256"/>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J/H</w:t>
            </w:r>
          </w:p>
        </w:tc>
        <w:tc>
          <w:tcPr>
            <w:tcW w:type="dxa" w:w="2256"/>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Coût presta.</w:t>
            </w:r>
          </w:p>
        </w:tc>
      </w:tr>
      <w:tr>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Écosystème (G3)</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~238 000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520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312 000 €</w:t>
            </w:r>
          </w:p>
        </w:tc>
      </w:tr>
      <w:tr>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Portail Eco Browser</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~88 500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270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162 000 €</w:t>
            </w:r>
          </w:p>
        </w:tc>
      </w:tr>
      <w:tr>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ChartsBuilder</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~41 500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200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120 000 €</w:t>
            </w:r>
          </w:p>
        </w:tc>
      </w:tr>
      <w:tr>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LimeSurvey DSFR</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45</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27 000 €</w:t>
            </w:r>
          </w:p>
        </w:tc>
      </w:tr>
      <w:tr>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Organigrammes</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~500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6 000 €</w:t>
            </w:r>
          </w:p>
        </w:tc>
      </w:tr>
      <w:tr>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Comparateurs (x2)</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~5 500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45</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27 000 €</w:t>
            </w:r>
          </w:p>
        </w:tc>
      </w:tr>
      <w:tr>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LeFouineur</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~2 000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15</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9 000 €</w:t>
            </w:r>
          </w:p>
        </w:tc>
      </w:tr>
      <w:tr>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TOTAL</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~376 000</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1 105</w:t>
            </w:r>
          </w:p>
        </w:tc>
        <w:tc>
          <w:tcPr>
            <w:tcW w:type="dxa" w:w="2256"/>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663 000 €</w:t>
            </w:r>
          </w:p>
        </w:tc>
      </w:tr>
    </w:tbl>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i w:val="false"/>
                <w:iCs w:val="false"/>
                <w:color w:val="000091"/>
                <w:sz w:val="21"/>
                <w:szCs w:val="21"/>
              </w:rPr>
              <w:t xml:space="preserve">Coût prestataire estimé : 663 000 € (1 105 jours-homme)</w:t>
            </w:r>
          </w:p>
          <w:p>
            <w:pPr>
              <w:spacing w:before="40" w:after="40" w:line="276"/>
            </w:pPr>
            <w:r>
              <w:rPr>
                <w:rFonts w:ascii="Marianne" w:cs="Marianne" w:eastAsia="Marianne" w:hAnsi="Marianne"/>
                <w:b/>
                <w:bCs/>
                <w:i w:val="false"/>
                <w:iCs w:val="false"/>
                <w:color w:val="000091"/>
                <w:sz w:val="21"/>
                <w:szCs w:val="21"/>
              </w:rPr>
              <w:t xml:space="preserve">Coût vibe coding estimé : ~80 000 € (130 jours-homme, 1 agent + IA)</w:t>
            </w:r>
          </w:p>
          <w:p>
            <w:pPr>
              <w:spacing w:before="40" w:after="40" w:line="276"/>
            </w:pPr>
            <w:r>
              <w:rPr>
                <w:rFonts w:ascii="Marianne" w:cs="Marianne" w:eastAsia="Marianne" w:hAnsi="Marianne"/>
                <w:b/>
                <w:bCs/>
                <w:i w:val="false"/>
                <w:iCs w:val="false"/>
                <w:color w:val="000091"/>
                <w:sz w:val="21"/>
                <w:szCs w:val="21"/>
              </w:rPr>
              <w:t xml:space="preserve">Économie estimée : 583 000 €, soit 88 % du coût prestataire</w:t>
            </w:r>
          </w:p>
          <w:p>
            <w:pPr>
              <w:spacing w:before="40" w:after="40" w:line="276"/>
            </w:pPr>
            <w:r>
              <w:rPr>
                <w:rFonts w:ascii="Marianne" w:cs="Marianne" w:eastAsia="Marianne" w:hAnsi="Marianne"/>
                <w:b w:val="false"/>
                <w:bCs w:val="false"/>
                <w:i/>
                <w:iCs/>
                <w:color w:val="666666"/>
                <w:sz w:val="19"/>
                <w:szCs w:val="19"/>
              </w:rPr>
              <w:t xml:space="preserve">Note : hors coûts de pilotage et contractualisation (+20 à 40 % en réalité).</w:t>
            </w:r>
          </w:p>
        </w:tc>
      </w:tr>
    </w:tbl>
    <w:p>
      <w:pPr>
        <w:pStyle w:val="Heading2"/>
        <w:spacing w:before="360" w:after="160"/>
      </w:pPr>
      <w:r>
        <w:rPr>
          <w:rFonts w:ascii="Marianne" w:cs="Marianne" w:eastAsia="Marianne" w:hAnsi="Marianne"/>
          <w:b/>
          <w:bCs/>
          <w:color w:val="000091"/>
          <w:sz w:val="26"/>
          <w:szCs w:val="26"/>
        </w:rPr>
        <w:t xml:space="preserve">5. Qualité du code et standards</w:t>
      </w:r>
    </w:p>
    <w:p>
      <w:pPr>
        <w:spacing w:after="160" w:line="276"/>
        <w:jc w:val="both"/>
      </w:pPr>
      <w:r>
        <w:rPr>
          <w:rFonts w:ascii="Marianne" w:cs="Marianne" w:eastAsia="Marianne" w:hAnsi="Marianne"/>
          <w:b w:val="false"/>
          <w:bCs w:val="false"/>
          <w:i w:val="false"/>
          <w:iCs w:val="false"/>
          <w:color w:val="3A3A3A"/>
          <w:sz w:val="21"/>
          <w:szCs w:val="21"/>
        </w:rPr>
        <w:t xml:space="preserve">Tous les projets front-end intègrent le DSFR, garantissant cohérence visuelle et conformité avec la charte de l’État. Les déploiements utilisent Docker avec des configurations Traefik conformes aux préconisations ANSSI. Plusieurs projets intègrent Albert (IA souveraine Etalab) et se connectent exclusivement aux API publiques françaises.</w:t>
      </w:r>
    </w:p>
    <w:p>
      <w:pPr>
        <w:spacing w:after="160" w:line="276"/>
        <w:jc w:val="both"/>
      </w:pPr>
      <w:r>
        <w:rPr>
          <w:rFonts w:ascii="Marianne" w:cs="Marianne" w:eastAsia="Marianne" w:hAnsi="Marianne"/>
          <w:b/>
          <w:bCs/>
          <w:i w:val="false"/>
          <w:iCs w:val="false"/>
          <w:color w:val="3A3A3A"/>
          <w:sz w:val="21"/>
          <w:szCs w:val="21"/>
        </w:rPr>
        <w:t xml:space="preserve">Typage strict : </w:t>
      </w:r>
      <w:r>
        <w:rPr>
          <w:rFonts w:ascii="Marianne" w:cs="Marianne" w:eastAsia="Marianne" w:hAnsi="Marianne"/>
          <w:b w:val="false"/>
          <w:bCs w:val="false"/>
          <w:i w:val="false"/>
          <w:iCs w:val="false"/>
          <w:color w:val="3A3A3A"/>
          <w:sz w:val="21"/>
          <w:szCs w:val="21"/>
        </w:rPr>
        <w:t xml:space="preserve">TypeScript sur 5/8 projets, Pydantic côté Python. </w:t>
      </w:r>
      <w:r>
        <w:rPr>
          <w:rFonts w:ascii="Marianne" w:cs="Marianne" w:eastAsia="Marianne" w:hAnsi="Marianne"/>
          <w:b/>
          <w:bCs/>
          <w:i w:val="false"/>
          <w:iCs w:val="false"/>
          <w:color w:val="3A3A3A"/>
          <w:sz w:val="21"/>
          <w:szCs w:val="21"/>
        </w:rPr>
        <w:t xml:space="preserve">Tests : </w:t>
      </w:r>
      <w:r>
        <w:rPr>
          <w:rFonts w:ascii="Marianne" w:cs="Marianne" w:eastAsia="Marianne" w:hAnsi="Marianne"/>
          <w:b w:val="false"/>
          <w:bCs w:val="false"/>
          <w:i w:val="false"/>
          <w:iCs w:val="false"/>
          <w:color w:val="3A3A3A"/>
          <w:sz w:val="21"/>
          <w:szCs w:val="21"/>
        </w:rPr>
        <w:t xml:space="preserve">1 800+ tests unitaires et d’intégration + E2E Playwright. </w:t>
      </w:r>
      <w:r>
        <w:rPr>
          <w:rFonts w:ascii="Marianne" w:cs="Marianne" w:eastAsia="Marianne" w:hAnsi="Marianne"/>
          <w:b/>
          <w:bCs/>
          <w:i w:val="false"/>
          <w:iCs w:val="false"/>
          <w:color w:val="3A3A3A"/>
          <w:sz w:val="21"/>
          <w:szCs w:val="21"/>
        </w:rPr>
        <w:t xml:space="preserve">CI/CD : </w:t>
      </w:r>
      <w:r>
        <w:rPr>
          <w:rFonts w:ascii="Marianne" w:cs="Marianne" w:eastAsia="Marianne" w:hAnsi="Marianne"/>
          <w:b w:val="false"/>
          <w:bCs w:val="false"/>
          <w:i w:val="false"/>
          <w:iCs w:val="false"/>
          <w:color w:val="3A3A3A"/>
          <w:sz w:val="21"/>
          <w:szCs w:val="21"/>
        </w:rPr>
        <w:t xml:space="preserve">GitHub Actions (linting, tests, build Docker, scan Trivy). </w:t>
      </w:r>
      <w:r>
        <w:rPr>
          <w:rFonts w:ascii="Marianne" w:cs="Marianne" w:eastAsia="Marianne" w:hAnsi="Marianne"/>
          <w:b/>
          <w:bCs/>
          <w:i w:val="false"/>
          <w:iCs w:val="false"/>
          <w:color w:val="3A3A3A"/>
          <w:sz w:val="21"/>
          <w:szCs w:val="21"/>
        </w:rPr>
        <w:t xml:space="preserve">Documentation : </w:t>
      </w:r>
      <w:r>
        <w:rPr>
          <w:rFonts w:ascii="Marianne" w:cs="Marianne" w:eastAsia="Marianne" w:hAnsi="Marianne"/>
          <w:b w:val="false"/>
          <w:bCs w:val="false"/>
          <w:i w:val="false"/>
          <w:iCs w:val="false"/>
          <w:color w:val="3A3A3A"/>
          <w:sz w:val="21"/>
          <w:szCs w:val="21"/>
        </w:rPr>
        <w:t xml:space="preserve">README détaillés, ADR, documentation technique générée.</w:t>
      </w:r>
    </w:p>
    <w:p>
      <w:pPr>
        <w:pStyle w:val="Heading2"/>
        <w:spacing w:before="360" w:after="160"/>
      </w:pPr>
      <w:r>
        <w:rPr>
          <w:rFonts w:ascii="Marianne" w:cs="Marianne" w:eastAsia="Marianne" w:hAnsi="Marianne"/>
          <w:b/>
          <w:bCs/>
          <w:color w:val="000091"/>
          <w:sz w:val="26"/>
          <w:szCs w:val="26"/>
        </w:rPr>
        <w:t xml:space="preserve">6. L’IA ne remplace pas les compétences — elle débloque ce qui était impossible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2"/>
                <w:szCs w:val="22"/>
              </w:rPr>
              <w:t xml:space="preserve">Aucun de ces 8 projets n’aurait été réalisé sans l’IA. Non pas parce que les compétences manquent, mais parce que les circuits classiques rendent leur coût et leur délai disproportionnés par rapport au besoin.</w:t>
            </w:r>
          </w:p>
        </w:tc>
      </w:tr>
    </w:tbl>
    <w:p>
      <w:pPr>
        <w:spacing w:before="80" w:after="0"/>
      </w:pPr>
    </w:p>
    <w:p>
      <w:pPr>
        <w:spacing w:after="160" w:line="276"/>
        <w:jc w:val="both"/>
      </w:pPr>
      <w:r>
        <w:rPr>
          <w:rFonts w:ascii="Marianne" w:cs="Marianne" w:eastAsia="Marianne" w:hAnsi="Marianne"/>
          <w:b w:val="false"/>
          <w:bCs w:val="false"/>
          <w:i w:val="false"/>
          <w:iCs w:val="false"/>
          <w:color w:val="3A3A3A"/>
          <w:sz w:val="21"/>
          <w:szCs w:val="21"/>
        </w:rPr>
        <w:t xml:space="preserve">Ces outils n’ont pas été produits au détriment de développeurs humains. Ils n’auraient tout simplement jamais existé autrement. Aucun responsable n’aurait lancé un marché public de 312 000 € pour une plateforme de monitoring, ni mobilisé 3 développeurs pendant 5 mois pour un générateur d’organigrammes. Le vibe coding rend viable ce qui était déraisonnable.</w:t>
      </w:r>
    </w:p>
    <w:p>
      <w:pPr>
        <w:spacing w:after="160" w:line="276"/>
        <w:jc w:val="both"/>
      </w:pPr>
      <w:r>
        <w:rPr>
          <w:rFonts w:ascii="Marianne" w:cs="Marianne" w:eastAsia="Marianne" w:hAnsi="Marianne"/>
          <w:b w:val="false"/>
          <w:bCs w:val="false"/>
          <w:i w:val="false"/>
          <w:iCs w:val="false"/>
          <w:color w:val="3A3A3A"/>
          <w:sz w:val="21"/>
          <w:szCs w:val="21"/>
        </w:rPr>
        <w:t xml:space="preserve">Le vibe coding inverse la logique des projets classiques : on répond au besoin quand il se présente, avec un outil calibré pour l’instant présent. Si le besoin évolue, on adapte en quelques heures. S’il disparaît, on passe à autre chose sans regret — le coût engagé reste dérisoire.</w:t>
      </w:r>
    </w:p>
    <w:p>
      <w:r>
        <w:br w:type="page"/>
      </w:r>
    </w:p>
    <w:p>
      <w:pPr>
        <w:spacing w:before="200" w:after="80"/>
      </w:pPr>
      <w:r>
        <w:rPr>
          <w:rFonts w:ascii="Marianne" w:cs="Marianne" w:eastAsia="Marianne" w:hAnsi="Marianne"/>
          <w:caps/>
          <w:color w:val="000091"/>
          <w:spacing w:val="200"/>
          <w:sz w:val="18"/>
          <w:szCs w:val="18"/>
        </w:rPr>
        <w:t xml:space="preserve">PARTIE II</w:t>
      </w:r>
    </w:p>
    <w:p>
      <w:pPr>
        <w:pStyle w:val="Heading1"/>
        <w:spacing w:before="500" w:after="200"/>
      </w:pPr>
      <w:r>
        <w:rPr>
          <w:rFonts w:ascii="Marianne" w:cs="Marianne" w:eastAsia="Marianne" w:hAnsi="Marianne"/>
          <w:b/>
          <w:bCs/>
          <w:color w:val="000091"/>
          <w:sz w:val="32"/>
          <w:szCs w:val="32"/>
        </w:rPr>
        <w:t xml:space="preserve">La proposition : le Vibe Lab</w:t>
      </w:r>
    </w:p>
    <w:p>
      <w:pPr>
        <w:pStyle w:val="Heading2"/>
        <w:spacing w:before="360" w:after="160"/>
      </w:pPr>
      <w:r>
        <w:rPr>
          <w:rFonts w:ascii="Marianne" w:cs="Marianne" w:eastAsia="Marianne" w:hAnsi="Marianne"/>
          <w:b/>
          <w:bCs/>
          <w:color w:val="000091"/>
          <w:sz w:val="26"/>
          <w:szCs w:val="26"/>
        </w:rPr>
        <w:t xml:space="preserve">7. Manifeste : valeurs et positionnement</w:t>
      </w:r>
    </w:p>
    <w:p>
      <w:pPr>
        <w:spacing w:after="160" w:line="276"/>
        <w:jc w:val="both"/>
      </w:pPr>
      <w:r>
        <w:rPr>
          <w:rFonts w:ascii="Marianne" w:cs="Marianne" w:eastAsia="Marianne" w:hAnsi="Marianne"/>
          <w:b w:val="false"/>
          <w:bCs w:val="false"/>
          <w:i w:val="false"/>
          <w:iCs w:val="false"/>
          <w:color w:val="3A3A3A"/>
          <w:sz w:val="21"/>
          <w:szCs w:val="21"/>
        </w:rPr>
        <w:t xml:space="preserve">Le Vibe Lab est un laboratoire de prototypage augmenté par l’IA, rattaché à la MIWEB. Il produit des outils numériques qui n’auraient jamais existé par les circuits classiques. Il ne remplace ni les prestataires, ni les développeurs internes — il comble l’espace entre le besoin et le possible.</w:t>
      </w:r>
    </w:p>
    <w:p>
      <w:pPr>
        <w:spacing w:before="240" w:after="120"/>
      </w:pPr>
      <w:r>
        <w:rPr>
          <w:rFonts w:ascii="Marianne" w:cs="Marianne" w:eastAsia="Marianne" w:hAnsi="Marianne"/>
          <w:b/>
          <w:bCs/>
          <w:color w:val="3A3A3A"/>
          <w:sz w:val="22"/>
          <w:szCs w:val="22"/>
        </w:rPr>
        <w:t xml:space="preserve">Ce que le Vibe Lab fait</w:t>
      </w:r>
    </w:p>
    <w:p>
      <w:pPr>
        <w:pStyle w:val="ListParagraph"/>
        <w:numPr>
          <w:ilvl w:val="0"/>
          <w:numId w:val="2"/>
        </w:numPr>
        <w:spacing w:after="80"/>
      </w:pPr>
      <w:r>
        <w:rPr>
          <w:rFonts w:ascii="Marianne" w:cs="Marianne" w:eastAsia="Marianne" w:hAnsi="Marianne"/>
          <w:color w:val="3A3A3A"/>
          <w:sz w:val="21"/>
          <w:szCs w:val="21"/>
        </w:rPr>
        <w:t xml:space="preserve">Prototypage rapide : du besoin au prototype fonctionnel en 1 à 2 semaines</w:t>
      </w:r>
    </w:p>
    <w:p>
      <w:pPr>
        <w:pStyle w:val="ListParagraph"/>
        <w:numPr>
          <w:ilvl w:val="0"/>
          <w:numId w:val="2"/>
        </w:numPr>
        <w:spacing w:after="80"/>
      </w:pPr>
      <w:r>
        <w:rPr>
          <w:rFonts w:ascii="Marianne" w:cs="Marianne" w:eastAsia="Marianne" w:hAnsi="Marianne"/>
          <w:color w:val="3A3A3A"/>
          <w:sz w:val="21"/>
          <w:szCs w:val="21"/>
        </w:rPr>
        <w:t xml:space="preserve">Outillage interne : monitoring, pilotage, dataviz, automatisation</w:t>
      </w:r>
    </w:p>
    <w:p>
      <w:pPr>
        <w:pStyle w:val="ListParagraph"/>
        <w:numPr>
          <w:ilvl w:val="0"/>
          <w:numId w:val="2"/>
        </w:numPr>
        <w:spacing w:after="80"/>
      </w:pPr>
      <w:r>
        <w:rPr>
          <w:rFonts w:ascii="Marianne" w:cs="Marianne" w:eastAsia="Marianne" w:hAnsi="Marianne"/>
          <w:color w:val="3A3A3A"/>
          <w:sz w:val="21"/>
          <w:szCs w:val="21"/>
        </w:rPr>
        <w:t xml:space="preserve">Composants réutilisables : bibliothèques DSFR, thèmes, web components</w:t>
      </w:r>
    </w:p>
    <w:p>
      <w:pPr>
        <w:pStyle w:val="ListParagraph"/>
        <w:numPr>
          <w:ilvl w:val="0"/>
          <w:numId w:val="2"/>
        </w:numPr>
        <w:spacing w:after="80"/>
      </w:pPr>
      <w:r>
        <w:rPr>
          <w:rFonts w:ascii="Marianne" w:cs="Marianne" w:eastAsia="Marianne" w:hAnsi="Marianne"/>
          <w:color w:val="3A3A3A"/>
          <w:sz w:val="21"/>
          <w:szCs w:val="21"/>
        </w:rPr>
        <w:t xml:space="preserve">Veille et expérimentation : évaluation continue des outils IA</w:t>
      </w:r>
    </w:p>
    <w:p>
      <w:pPr>
        <w:pStyle w:val="ListParagraph"/>
        <w:numPr>
          <w:ilvl w:val="0"/>
          <w:numId w:val="2"/>
        </w:numPr>
        <w:spacing w:after="80"/>
      </w:pPr>
      <w:r>
        <w:rPr>
          <w:rFonts w:ascii="Marianne" w:cs="Marianne" w:eastAsia="Marianne" w:hAnsi="Marianne"/>
          <w:color w:val="3A3A3A"/>
          <w:sz w:val="21"/>
          <w:szCs w:val="21"/>
        </w:rPr>
        <w:t xml:space="preserve">Accompagnement : formation et appui des équipes métier au vibe coding</w:t>
      </w:r>
    </w:p>
    <w:p>
      <w:pPr>
        <w:spacing w:before="240" w:after="120"/>
      </w:pPr>
      <w:r>
        <w:rPr>
          <w:rFonts w:ascii="Marianne" w:cs="Marianne" w:eastAsia="Marianne" w:hAnsi="Marianne"/>
          <w:b/>
          <w:bCs/>
          <w:color w:val="3A3A3A"/>
          <w:sz w:val="22"/>
          <w:szCs w:val="22"/>
        </w:rPr>
        <w:t xml:space="preserve">Ce que le Vibe Lab ne fait pas</w:t>
      </w:r>
    </w:p>
    <w:p>
      <w:pPr>
        <w:pStyle w:val="ListParagraph"/>
        <w:numPr>
          <w:ilvl w:val="0"/>
          <w:numId w:val="2"/>
        </w:numPr>
        <w:spacing w:after="80"/>
      </w:pPr>
      <w:r>
        <w:rPr>
          <w:rFonts w:ascii="Marianne" w:cs="Marianne" w:eastAsia="Marianne" w:hAnsi="Marianne"/>
          <w:color w:val="3A3A3A"/>
          <w:sz w:val="21"/>
          <w:szCs w:val="21"/>
        </w:rPr>
        <w:t xml:space="preserve">Pas de SI métier (Chorus, SI-RH, applications fiscales)</w:t>
      </w:r>
    </w:p>
    <w:p>
      <w:pPr>
        <w:pStyle w:val="ListParagraph"/>
        <w:numPr>
          <w:ilvl w:val="0"/>
          <w:numId w:val="2"/>
        </w:numPr>
        <w:spacing w:after="80"/>
      </w:pPr>
      <w:r>
        <w:rPr>
          <w:rFonts w:ascii="Marianne" w:cs="Marianne" w:eastAsia="Marianne" w:hAnsi="Marianne"/>
          <w:color w:val="3A3A3A"/>
          <w:sz w:val="21"/>
          <w:szCs w:val="21"/>
        </w:rPr>
        <w:t xml:space="preserve">Pas de données personnelles, fiscales ou nominatives</w:t>
      </w:r>
    </w:p>
    <w:p>
      <w:pPr>
        <w:pStyle w:val="ListParagraph"/>
        <w:numPr>
          <w:ilvl w:val="0"/>
          <w:numId w:val="2"/>
        </w:numPr>
        <w:spacing w:after="80"/>
      </w:pPr>
      <w:r>
        <w:rPr>
          <w:rFonts w:ascii="Marianne" w:cs="Marianne" w:eastAsia="Marianne" w:hAnsi="Marianne"/>
          <w:color w:val="3A3A3A"/>
          <w:sz w:val="21"/>
          <w:szCs w:val="21"/>
        </w:rPr>
        <w:t xml:space="preserve">Pas d’applications nécessitant une homologation de sécurité</w:t>
      </w:r>
    </w:p>
    <w:p>
      <w:pPr>
        <w:pStyle w:val="ListParagraph"/>
        <w:numPr>
          <w:ilvl w:val="0"/>
          <w:numId w:val="2"/>
        </w:numPr>
        <w:spacing w:after="80"/>
      </w:pPr>
      <w:r>
        <w:rPr>
          <w:rFonts w:ascii="Marianne" w:cs="Marianne" w:eastAsia="Marianne" w:hAnsi="Marianne"/>
          <w:color w:val="3A3A3A"/>
          <w:sz w:val="21"/>
          <w:szCs w:val="21"/>
        </w:rPr>
        <w:t xml:space="preserve">Pas de traitements de données classifiées ou protégées</w:t>
      </w:r>
    </w:p>
    <w:p>
      <w:pPr>
        <w:spacing w:after="160" w:line="276"/>
        <w:jc w:val="both"/>
      </w:pPr>
      <w:r>
        <w:rPr>
          <w:rFonts w:ascii="Marianne" w:cs="Marianne" w:eastAsia="Marianne" w:hAnsi="Marianne"/>
          <w:b w:val="false"/>
          <w:bCs w:val="false"/>
          <w:i/>
          <w:iCs/>
          <w:color w:val="3A3A3A"/>
          <w:sz w:val="21"/>
          <w:szCs w:val="21"/>
        </w:rPr>
        <w:t xml:space="preserve">Dès qu’un projet touche à l’un de ces périmètres, il relève de BercyHub. Cette règle de démarcation est absolue.</w:t>
      </w:r>
    </w:p>
    <w:p>
      <w:pPr>
        <w:spacing w:before="240" w:after="120"/>
      </w:pPr>
      <w:r>
        <w:rPr>
          <w:rFonts w:ascii="Marianne" w:cs="Marianne" w:eastAsia="Marianne" w:hAnsi="Marianne"/>
          <w:b/>
          <w:bCs/>
          <w:color w:val="3A3A3A"/>
          <w:sz w:val="22"/>
          <w:szCs w:val="22"/>
        </w:rPr>
        <w:t xml:space="preserve">Un périmètre sécurisé par construction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2"/>
                <w:szCs w:val="22"/>
              </w:rPr>
              <w:t xml:space="preserve">Ces projets manipulent du code public, des données publiques, pour des usages publics. Le risque sécurité et RGPD est nul par conception.</w:t>
            </w:r>
          </w:p>
        </w:tc>
      </w:tr>
    </w:tbl>
    <w:p>
      <w:pPr>
        <w:spacing w:before="80" w:after="0"/>
      </w:pPr>
    </w:p>
    <w:p>
      <w:pPr>
        <w:spacing w:after="160" w:line="276"/>
        <w:jc w:val="both"/>
      </w:pPr>
      <w:r>
        <w:rPr>
          <w:rFonts w:ascii="Marianne" w:cs="Marianne" w:eastAsia="Marianne" w:hAnsi="Marianne"/>
          <w:b w:val="false"/>
          <w:bCs w:val="false"/>
          <w:i w:val="false"/>
          <w:iCs w:val="false"/>
          <w:color w:val="3A3A3A"/>
          <w:sz w:val="21"/>
          <w:szCs w:val="21"/>
        </w:rPr>
        <w:t xml:space="preserve">L’ensemble des projets sont open source et publiés sur GitHub. Les données manipulées sont exclusivement des données ouvertes (open data ministérielles, API Annuaire, data.gouv.fr, INSEE). Le code ne contient ni secret, ni donnée personnelle, ni information sensible. L’utilisation d’outils d’IA générative pour la production du code ne pose aucun problème de confidentialité dans ce contexte.</w:t>
      </w:r>
    </w:p>
    <w:p>
      <w:pPr>
        <w:pStyle w:val="Heading2"/>
        <w:spacing w:before="360" w:after="160"/>
      </w:pPr>
      <w:r>
        <w:rPr>
          <w:rFonts w:ascii="Marianne" w:cs="Marianne" w:eastAsia="Marianne" w:hAnsi="Marianne"/>
          <w:b/>
          <w:bCs/>
          <w:color w:val="000091"/>
          <w:sz w:val="26"/>
          <w:szCs w:val="26"/>
        </w:rPr>
        <w:t xml:space="preserve">8. Ce que le Vibe Lab apporte à chaque périmètre</w:t>
      </w:r>
    </w:p>
    <w:p>
      <w:pPr>
        <w:spacing w:before="240" w:after="120"/>
      </w:pPr>
      <w:r>
        <w:rPr>
          <w:rFonts w:ascii="Marianne" w:cs="Marianne" w:eastAsia="Marianne" w:hAnsi="Marianne"/>
          <w:b/>
          <w:bCs/>
          <w:color w:val="3A3A3A"/>
          <w:sz w:val="22"/>
          <w:szCs w:val="22"/>
        </w:rPr>
        <w:t xml:space="preserve">8.1 Direction de la Communication</w:t>
      </w:r>
    </w:p>
    <w:p>
      <w:pPr>
        <w:spacing w:after="160" w:line="276"/>
        <w:jc w:val="both"/>
      </w:pPr>
      <w:r>
        <w:rPr>
          <w:rFonts w:ascii="Marianne" w:cs="Marianne" w:eastAsia="Marianne" w:hAnsi="Marianne"/>
          <w:b w:val="false"/>
          <w:bCs w:val="false"/>
          <w:i w:val="false"/>
          <w:iCs w:val="false"/>
          <w:color w:val="3A3A3A"/>
          <w:sz w:val="21"/>
          <w:szCs w:val="21"/>
        </w:rPr>
        <w:t xml:space="preserve">Les 8 outils déjà produits couvrent les trois dimensions du design ministériel : design visuel (ChartsBuilder, thème LimeSurvey, organigrammes, cohérence de marque), design de service (comparateurs grand public, Écosystème, LeFouineur, parcours utilisateur) et design éditorial (Portail Eco Browser, LeFouineur contributeurs, ChartsBuilder rédacteurs).</w:t>
      </w:r>
    </w:p>
    <w:p>
      <w:pPr>
        <w:spacing w:after="160" w:line="276"/>
        <w:jc w:val="both"/>
      </w:pPr>
      <w:r>
        <w:rPr>
          <w:rFonts w:ascii="Marianne" w:cs="Marianne" w:eastAsia="Marianne" w:hAnsi="Marianne"/>
          <w:b w:val="false"/>
          <w:bCs w:val="false"/>
          <w:i w:val="false"/>
          <w:iCs w:val="false"/>
          <w:color w:val="3A3A3A"/>
          <w:sz w:val="21"/>
          <w:szCs w:val="21"/>
        </w:rPr>
        <w:t xml:space="preserve">Le Lab donne à la communication la capacité de piloter les sites du ministère par les données (Écosystème : 18 critères, alertes automatiques), de produire de la dataviz conforme sans prestataire (ChartsBuilder), et de tester sur du réel plutôt que sur des maquettes Figma.</w:t>
      </w:r>
    </w:p>
    <w:p>
      <w:pPr>
        <w:spacing w:before="240" w:after="120"/>
      </w:pPr>
      <w:r>
        <w:rPr>
          <w:rFonts w:ascii="Marianne" w:cs="Marianne" w:eastAsia="Marianne" w:hAnsi="Marianne"/>
          <w:b/>
          <w:bCs/>
          <w:color w:val="3A3A3A"/>
          <w:sz w:val="22"/>
          <w:szCs w:val="22"/>
        </w:rPr>
        <w:t xml:space="preserve">8.2 MIWEB — De l’ingénierie à l’intelligence du web</w:t>
      </w:r>
    </w:p>
    <w:p>
      <w:pPr>
        <w:spacing w:after="160" w:line="276"/>
        <w:jc w:val="both"/>
      </w:pPr>
      <w:r>
        <w:rPr>
          <w:rFonts w:ascii="Marianne" w:cs="Marianne" w:eastAsia="Marianne" w:hAnsi="Marianne"/>
          <w:b w:val="false"/>
          <w:bCs w:val="false"/>
          <w:i w:val="false"/>
          <w:iCs w:val="false"/>
          <w:color w:val="3A3A3A"/>
          <w:sz w:val="21"/>
          <w:szCs w:val="21"/>
        </w:rPr>
        <w:t xml:space="preserve">Le Vibe Lab permet à la MIWEB de passer de l’ingénierie du web à l’intelligence du web. Intelligence éditoriale (Portail Eco Browser : connaissance fine du contenu publié), intelligence de gouvernance (Écosystème : pilotage par les données), intelligence du design (prototypage rapide, tests sur outils réels, itération continue) et intelligence de l’accessibilité (audit automatisé permanent, recommandations IA, contrôle qualité embarqué).</w:t>
      </w:r>
    </w:p>
    <w:p>
      <w:pPr>
        <w:spacing w:after="160" w:line="276"/>
        <w:jc w:val="both"/>
      </w:pPr>
      <w:r>
        <w:rPr>
          <w:rFonts w:ascii="Marianne" w:cs="Marianne" w:eastAsia="Marianne" w:hAnsi="Marianne"/>
          <w:b w:val="false"/>
          <w:bCs w:val="false"/>
          <w:i w:val="false"/>
          <w:iCs w:val="false"/>
          <w:color w:val="3A3A3A"/>
          <w:sz w:val="21"/>
          <w:szCs w:val="21"/>
        </w:rPr>
        <w:t xml:space="preserve">Le prototypage sur du réel — pas sur du Figma — change radicalement l’équation. En quelques jours, on produit un prototype connecté aux vraies API, affichant de vraies données, responsive, conforme DSFR. Ce prototype peut être mis en ligne immédiatement et testé par de vrais utilisateurs.</w:t>
      </w:r>
    </w:p>
    <w:p>
      <w:pPr>
        <w:spacing w:before="240" w:after="120"/>
      </w:pPr>
      <w:r>
        <w:rPr>
          <w:rFonts w:ascii="Marianne" w:cs="Marianne" w:eastAsia="Marianne" w:hAnsi="Marianne"/>
          <w:b/>
          <w:bCs/>
          <w:color w:val="3A3A3A"/>
          <w:sz w:val="22"/>
          <w:szCs w:val="22"/>
        </w:rPr>
        <w:t xml:space="preserve">8.3 Fonctions support du secrétariat général</w:t>
      </w:r>
    </w:p>
    <w:p>
      <w:pPr>
        <w:spacing w:after="160" w:line="276"/>
        <w:jc w:val="both"/>
      </w:pPr>
      <w:r>
        <w:rPr>
          <w:rFonts w:ascii="Marianne" w:cs="Marianne" w:eastAsia="Marianne" w:hAnsi="Marianne"/>
          <w:b w:val="false"/>
          <w:bCs w:val="false"/>
          <w:i w:val="false"/>
          <w:iCs w:val="false"/>
          <w:color w:val="3A3A3A"/>
          <w:sz w:val="21"/>
          <w:szCs w:val="21"/>
        </w:rPr>
        <w:t xml:space="preserve">Le modèle validé sur la communication s’applique aux autres fonctions du SG, en restant strictement dans le périmètre données publiques ou agrégées. 16 cas d’usage ont été identifiés :</w:t>
      </w:r>
    </w:p>
    <w:p>
      <w:pPr>
        <w:spacing w:after="160" w:line="276"/>
        <w:jc w:val="both"/>
      </w:pPr>
      <w:r>
        <w:rPr>
          <w:rFonts w:ascii="Marianne" w:cs="Marianne" w:eastAsia="Marianne" w:hAnsi="Marianne"/>
          <w:b/>
          <w:bCs/>
          <w:i w:val="false"/>
          <w:iCs w:val="false"/>
          <w:color w:val="3A3A3A"/>
          <w:sz w:val="21"/>
          <w:szCs w:val="21"/>
        </w:rPr>
        <w:t xml:space="preserve">RH : </w:t>
      </w:r>
      <w:r>
        <w:rPr>
          <w:rFonts w:ascii="Marianne" w:cs="Marianne" w:eastAsia="Marianne" w:hAnsi="Marianne"/>
          <w:b w:val="false"/>
          <w:bCs w:val="false"/>
          <w:i w:val="false"/>
          <w:iCs w:val="false"/>
          <w:color w:val="3A3A3A"/>
          <w:sz w:val="21"/>
          <w:szCs w:val="21"/>
        </w:rPr>
        <w:t xml:space="preserve">simulateur de carrière (grilles indiciaires publiques), générateur de fiches de poste (RIME), analyse d’enquêtes (verbatims anonymisés), chatbot d’orientation (circulaires publiques).</w:t>
      </w:r>
    </w:p>
    <w:p>
      <w:pPr>
        <w:spacing w:after="160" w:line="276"/>
        <w:jc w:val="both"/>
      </w:pPr>
      <w:r>
        <w:rPr>
          <w:rFonts w:ascii="Marianne" w:cs="Marianne" w:eastAsia="Marianne" w:hAnsi="Marianne"/>
          <w:b/>
          <w:bCs/>
          <w:i w:val="false"/>
          <w:iCs w:val="false"/>
          <w:color w:val="3A3A3A"/>
          <w:sz w:val="21"/>
          <w:szCs w:val="21"/>
        </w:rPr>
        <w:t xml:space="preserve">Finances : </w:t>
      </w:r>
      <w:r>
        <w:rPr>
          <w:rFonts w:ascii="Marianne" w:cs="Marianne" w:eastAsia="Marianne" w:hAnsi="Marianne"/>
          <w:b w:val="false"/>
          <w:bCs w:val="false"/>
          <w:i w:val="false"/>
          <w:iCs w:val="false"/>
          <w:color w:val="3A3A3A"/>
          <w:sz w:val="21"/>
          <w:szCs w:val="21"/>
        </w:rPr>
        <w:t xml:space="preserve">tableau de bord d’exécution budgétaire (LOLF/PAP/RAP publics), simulateur d’impact (barèmes publics), générateur de rapports de gestion.</w:t>
      </w:r>
    </w:p>
    <w:p>
      <w:pPr>
        <w:spacing w:after="160" w:line="276"/>
        <w:jc w:val="both"/>
      </w:pPr>
      <w:r>
        <w:rPr>
          <w:rFonts w:ascii="Marianne" w:cs="Marianne" w:eastAsia="Marianne" w:hAnsi="Marianne"/>
          <w:b/>
          <w:bCs/>
          <w:i w:val="false"/>
          <w:iCs w:val="false"/>
          <w:color w:val="3A3A3A"/>
          <w:sz w:val="21"/>
          <w:szCs w:val="21"/>
        </w:rPr>
        <w:t xml:space="preserve">Immobilier : </w:t>
      </w:r>
      <w:r>
        <w:rPr>
          <w:rFonts w:ascii="Marianne" w:cs="Marianne" w:eastAsia="Marianne" w:hAnsi="Marianne"/>
          <w:b w:val="false"/>
          <w:bCs w:val="false"/>
          <w:i w:val="false"/>
          <w:iCs w:val="false"/>
          <w:color w:val="3A3A3A"/>
          <w:sz w:val="21"/>
          <w:szCs w:val="21"/>
        </w:rPr>
        <w:t xml:space="preserve">guide interactif des sites, calculateur d’empreinte carbone (données ADEME), outil de signalement.</w:t>
      </w:r>
    </w:p>
    <w:p>
      <w:pPr>
        <w:spacing w:after="160" w:line="276"/>
        <w:jc w:val="both"/>
      </w:pPr>
      <w:r>
        <w:rPr>
          <w:rFonts w:ascii="Marianne" w:cs="Marianne" w:eastAsia="Marianne" w:hAnsi="Marianne"/>
          <w:b/>
          <w:bCs/>
          <w:i w:val="false"/>
          <w:iCs w:val="false"/>
          <w:color w:val="3A3A3A"/>
          <w:sz w:val="21"/>
          <w:szCs w:val="21"/>
        </w:rPr>
        <w:t xml:space="preserve">DSI : </w:t>
      </w:r>
      <w:r>
        <w:rPr>
          <w:rFonts w:ascii="Marianne" w:cs="Marianne" w:eastAsia="Marianne" w:hAnsi="Marianne"/>
          <w:b w:val="false"/>
          <w:bCs w:val="false"/>
          <w:i w:val="false"/>
          <w:iCs w:val="false"/>
          <w:color w:val="3A3A3A"/>
          <w:sz w:val="21"/>
          <w:szCs w:val="21"/>
        </w:rPr>
        <w:t xml:space="preserve">catalogue IT intelligent (RAG), générateur de documentation technique, élargissement d’Écosystème au parc applicatif.</w:t>
      </w:r>
    </w:p>
    <w:p>
      <w:pPr>
        <w:spacing w:after="160" w:line="276"/>
        <w:jc w:val="both"/>
      </w:pPr>
      <w:r>
        <w:rPr>
          <w:rFonts w:ascii="Marianne" w:cs="Marianne" w:eastAsia="Marianne" w:hAnsi="Marianne"/>
          <w:b/>
          <w:bCs/>
          <w:i w:val="false"/>
          <w:iCs w:val="false"/>
          <w:color w:val="3A3A3A"/>
          <w:sz w:val="21"/>
          <w:szCs w:val="21"/>
        </w:rPr>
        <w:t xml:space="preserve">Coordination : </w:t>
      </w:r>
      <w:r>
        <w:rPr>
          <w:rFonts w:ascii="Marianne" w:cs="Marianne" w:eastAsia="Marianne" w:hAnsi="Marianne"/>
          <w:b w:val="false"/>
          <w:bCs w:val="false"/>
          <w:i w:val="false"/>
          <w:iCs w:val="false"/>
          <w:color w:val="3A3A3A"/>
          <w:sz w:val="21"/>
          <w:szCs w:val="21"/>
        </w:rPr>
        <w:t xml:space="preserve">agrégateur de veille réglementaire (JORF/Légifrance), tableau de bord du SG, comparateur interministériel.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i w:val="false"/>
                <w:iCs w:val="false"/>
                <w:color w:val="000091"/>
                <w:sz w:val="21"/>
                <w:szCs w:val="21"/>
              </w:rPr>
              <w:t xml:space="preserve">16 cas d’usage identifiés. 16 à 100 % dans le périmètre Vibe Lab.</w:t>
            </w:r>
          </w:p>
          <w:p>
            <w:pPr>
              <w:spacing w:before="40" w:after="40" w:line="276"/>
            </w:pPr>
            <w:r>
              <w:rPr>
                <w:rFonts w:ascii="Marianne" w:cs="Marianne" w:eastAsia="Marianne" w:hAnsi="Marianne"/>
                <w:b/>
                <w:bCs/>
                <w:i w:val="false"/>
                <w:iCs w:val="false"/>
                <w:color w:val="000091"/>
                <w:sz w:val="21"/>
                <w:szCs w:val="21"/>
              </w:rPr>
              <w:t xml:space="preserve">0 interférence avec BercyHub.</w:t>
            </w:r>
          </w:p>
        </w:tc>
      </w:tr>
    </w:tbl>
    <w:p>
      <w:pPr>
        <w:pStyle w:val="Heading2"/>
        <w:spacing w:before="360" w:after="160"/>
      </w:pPr>
      <w:r>
        <w:rPr>
          <w:rFonts w:ascii="Marianne" w:cs="Marianne" w:eastAsia="Marianne" w:hAnsi="Marianne"/>
          <w:b/>
          <w:bCs/>
          <w:color w:val="000091"/>
          <w:sz w:val="26"/>
          <w:szCs w:val="26"/>
        </w:rPr>
        <w:t xml:space="preserve">9. Articulation avec BercyHub : le modèle éclaireur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2"/>
                <w:szCs w:val="22"/>
              </w:rPr>
              <w:t xml:space="preserve">Le positionnement du Vibe Lab par rapport à BercyHub n’est pas une question d’ambition, mais de périmètre. Les deux structures répondent à des besoins différents avec des méthodes différentes. Elles ne se chevauchent pas — elles se complètent.</w:t>
            </w:r>
          </w:p>
        </w:tc>
      </w:tr>
    </w:tbl>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BercyHub</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Vibe Lab</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IA</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Souveraine (modèles hébergés)</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Commerciale + souveraine (Albert)</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Données</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Sensibles et confidentielles</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Publiques ou agrégées uniquement</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Périmètre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SI métier</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Outils périphériques (hors SI)</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Sécurité</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Homologation requise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Aucune homologation nécessaire</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Projets</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Structurants, moyen/long terme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Prototypes rapides, jetables si besoin</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Méthode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Spécifications, recette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Itération continue, tests immédiats</w:t>
            </w:r>
          </w:p>
        </w:tc>
      </w:tr>
    </w:tbl>
    <w:p>
      <w:pPr>
        <w:spacing w:before="100" w:after="0"/>
      </w:pPr>
    </w:p>
    <w:p>
      <w:pPr>
        <w:spacing w:before="240" w:after="120"/>
      </w:pPr>
      <w:r>
        <w:rPr>
          <w:rFonts w:ascii="Marianne" w:cs="Marianne" w:eastAsia="Marianne" w:hAnsi="Marianne"/>
          <w:b/>
          <w:bCs/>
          <w:color w:val="3A3A3A"/>
          <w:sz w:val="22"/>
          <w:szCs w:val="22"/>
        </w:rPr>
        <w:t xml:space="preserve">Le scénario d’articulation</w:t>
      </w:r>
    </w:p>
    <w:p>
      <w:pPr>
        <w:spacing w:after="160" w:line="276"/>
        <w:jc w:val="both"/>
      </w:pPr>
      <w:r>
        <w:rPr>
          <w:rFonts w:ascii="Marianne" w:cs="Marianne" w:eastAsia="Marianne" w:hAnsi="Marianne"/>
          <w:b/>
          <w:bCs/>
          <w:i w:val="false"/>
          <w:iCs w:val="false"/>
          <w:color w:val="3A3A3A"/>
          <w:sz w:val="21"/>
          <w:szCs w:val="21"/>
        </w:rPr>
        <w:t xml:space="preserve">Étape 1 — Le Vibe Lab explore. </w:t>
      </w:r>
      <w:r>
        <w:rPr>
          <w:rFonts w:ascii="Marianne" w:cs="Marianne" w:eastAsia="Marianne" w:hAnsi="Marianne"/>
          <w:b w:val="false"/>
          <w:bCs w:val="false"/>
          <w:i w:val="false"/>
          <w:iCs w:val="false"/>
          <w:color w:val="3A3A3A"/>
          <w:sz w:val="21"/>
          <w:szCs w:val="21"/>
        </w:rPr>
        <w:t xml:space="preserve">Le Lab identifie un besoin, produit un prototype fonctionnel sur données publiques, teste avec les utilisateurs, valide le concept.</w:t>
      </w:r>
    </w:p>
    <w:p>
      <w:pPr>
        <w:spacing w:after="160" w:line="276"/>
        <w:jc w:val="both"/>
      </w:pPr>
      <w:r>
        <w:rPr>
          <w:rFonts w:ascii="Marianne" w:cs="Marianne" w:eastAsia="Marianne" w:hAnsi="Marianne"/>
          <w:b/>
          <w:bCs/>
          <w:i w:val="false"/>
          <w:iCs w:val="false"/>
          <w:color w:val="3A3A3A"/>
          <w:sz w:val="21"/>
          <w:szCs w:val="21"/>
        </w:rPr>
        <w:t xml:space="preserve">Étape 2 — La direction arbitre. </w:t>
      </w:r>
      <w:r>
        <w:rPr>
          <w:rFonts w:ascii="Marianne" w:cs="Marianne" w:eastAsia="Marianne" w:hAnsi="Marianne"/>
          <w:b w:val="false"/>
          <w:bCs w:val="false"/>
          <w:i w:val="false"/>
          <w:iCs w:val="false"/>
          <w:color w:val="3A3A3A"/>
          <w:sz w:val="21"/>
          <w:szCs w:val="21"/>
        </w:rPr>
        <w:t xml:space="preserve">Si le prototype est validé et que le besoin justifie un traitement sur données sensibles, le projet est transféré à BercyHub.</w:t>
      </w:r>
    </w:p>
    <w:p>
      <w:pPr>
        <w:spacing w:after="160" w:line="276"/>
        <w:jc w:val="both"/>
      </w:pPr>
      <w:r>
        <w:rPr>
          <w:rFonts w:ascii="Marianne" w:cs="Marianne" w:eastAsia="Marianne" w:hAnsi="Marianne"/>
          <w:b/>
          <w:bCs/>
          <w:i w:val="false"/>
          <w:iCs w:val="false"/>
          <w:color w:val="3A3A3A"/>
          <w:sz w:val="21"/>
          <w:szCs w:val="21"/>
        </w:rPr>
        <w:t xml:space="preserve">Étape 3 — BercyHub industrialise. </w:t>
      </w:r>
      <w:r>
        <w:rPr>
          <w:rFonts w:ascii="Marianne" w:cs="Marianne" w:eastAsia="Marianne" w:hAnsi="Marianne"/>
          <w:b w:val="false"/>
          <w:bCs w:val="false"/>
          <w:i w:val="false"/>
          <w:iCs w:val="false"/>
          <w:color w:val="3A3A3A"/>
          <w:sz w:val="21"/>
          <w:szCs w:val="21"/>
        </w:rPr>
        <w:t xml:space="preserve">BercyHub reprend le concept validé, le connecte aux SI métier et aux données sensibles, dans le cadre d’une homologation.</w:t>
      </w:r>
    </w:p>
    <w:p>
      <w:pPr>
        <w:spacing w:after="160" w:line="276"/>
        <w:jc w:val="both"/>
      </w:pPr>
      <w:r>
        <w:rPr>
          <w:rFonts w:ascii="Marianne" w:cs="Marianne" w:eastAsia="Marianne" w:hAnsi="Marianne"/>
          <w:b w:val="false"/>
          <w:bCs w:val="false"/>
          <w:i/>
          <w:iCs/>
          <w:color w:val="3A3A3A"/>
          <w:sz w:val="21"/>
          <w:szCs w:val="21"/>
        </w:rPr>
        <w:t xml:space="preserve">Le Vibe Lab devient un éclaireur : il dérisque les projets avant qu’ils ne mobilisent des moyens lourds. BercyHub gagne un pipeline de projets déjà validés par l’usage. Un point trimestriel structuré entre les deux équipes garantit la cohérence.</w:t>
      </w:r>
    </w:p>
    <w:p>
      <w:pPr>
        <w:pStyle w:val="Heading2"/>
        <w:spacing w:before="360" w:after="160"/>
      </w:pPr>
      <w:r>
        <w:rPr>
          <w:rFonts w:ascii="Marianne" w:cs="Marianne" w:eastAsia="Marianne" w:hAnsi="Marianne"/>
          <w:b/>
          <w:bCs/>
          <w:color w:val="000091"/>
          <w:sz w:val="26"/>
          <w:szCs w:val="26"/>
        </w:rPr>
        <w:t xml:space="preserve">10. ExcelExit : la prochaine frontière</w:t>
      </w:r>
    </w:p>
    <w:p>
      <w:pPr>
        <w:spacing w:after="160" w:line="276"/>
        <w:jc w:val="both"/>
      </w:pPr>
      <w:r>
        <w:rPr>
          <w:rFonts w:ascii="Marianne" w:cs="Marianne" w:eastAsia="Marianne" w:hAnsi="Marianne"/>
          <w:b w:val="false"/>
          <w:bCs w:val="false"/>
          <w:i w:val="false"/>
          <w:iCs w:val="false"/>
          <w:color w:val="3A3A3A"/>
          <w:sz w:val="21"/>
          <w:szCs w:val="21"/>
        </w:rPr>
        <w:t xml:space="preserve">Le premier projet candidat pour le Lab structuré est ExcelExit : la migration systématique des fichiers Excel critiques du ministère vers Grist (grist.numerique.gouv.fr), infrastructure interministérielle opérée par la DINUM.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i w:val="false"/>
                <w:iCs w:val="false"/>
                <w:color w:val="000091"/>
                <w:sz w:val="21"/>
                <w:szCs w:val="21"/>
              </w:rPr>
              <w:t xml:space="preserve">Principe fondamental d’ExcelExit :</w:t>
            </w:r>
          </w:p>
          <w:p>
            <w:pPr>
              <w:spacing w:before="40" w:after="40" w:line="276"/>
            </w:pPr>
            <w:r>
              <w:rPr>
                <w:rFonts w:ascii="Marianne" w:cs="Marianne" w:eastAsia="Marianne" w:hAnsi="Marianne"/>
                <w:b/>
                <w:bCs/>
                <w:i w:val="false"/>
                <w:iCs w:val="false"/>
                <w:color w:val="000091"/>
                <w:sz w:val="24"/>
                <w:szCs w:val="24"/>
              </w:rPr>
              <w:t xml:space="preserve">Si l’interface meurt, les données vivent.</w:t>
            </w:r>
          </w:p>
          <w:p>
            <w:pPr>
              <w:spacing w:before="40" w:after="40" w:line="276"/>
            </w:pPr>
            <w:r>
              <w:rPr>
                <w:rFonts w:ascii="Marianne" w:cs="Marianne" w:eastAsia="Marianne" w:hAnsi="Marianne"/>
                <w:b w:val="false"/>
                <w:bCs w:val="false"/>
                <w:i/>
                <w:iCs/>
                <w:color w:val="666666"/>
                <w:sz w:val="21"/>
                <w:szCs w:val="21"/>
              </w:rPr>
              <w:t xml:space="preserve">La valeur repose dans les données et les formules Grist, pas dans l’interface web.</w:t>
            </w:r>
          </w:p>
        </w:tc>
      </w:tr>
    </w:tbl>
    <w:p>
      <w:pPr>
        <w:spacing w:before="80" w:after="0"/>
      </w:pPr>
    </w:p>
    <w:p>
      <w:pPr>
        <w:spacing w:after="160" w:line="276"/>
        <w:jc w:val="both"/>
      </w:pPr>
      <w:r>
        <w:rPr>
          <w:rFonts w:ascii="Marianne" w:cs="Marianne" w:eastAsia="Marianne" w:hAnsi="Marianne"/>
          <w:b w:val="false"/>
          <w:bCs w:val="false"/>
          <w:i w:val="false"/>
          <w:iCs w:val="false"/>
          <w:color w:val="3A3A3A"/>
          <w:sz w:val="21"/>
          <w:szCs w:val="21"/>
        </w:rPr>
        <w:t xml:space="preserve">L’architecture repose sur trois couches indépendantes : les données (Grist — pérenne, partageable, versionnable), la logique (formules Grist + API REST), et l’interface (HTML/DSFR générée par le Lab — jetable et remplaçable). C’est l’exact inverse du modèle Excel où données, logique et interface sont fusionnées dans un objet opaque.</w:t>
      </w:r>
    </w:p>
    <w:p>
      <w:pPr>
        <w:spacing w:before="240" w:after="120"/>
      </w:pPr>
      <w:r>
        <w:rPr>
          <w:rFonts w:ascii="Marianne" w:cs="Marianne" w:eastAsia="Marianne" w:hAnsi="Marianne"/>
          <w:b/>
          <w:bCs/>
          <w:color w:val="3A3A3A"/>
          <w:sz w:val="22"/>
          <w:szCs w:val="22"/>
        </w:rPr>
        <w:t xml:space="preserve">Niveaux de fichiers</w:t>
      </w:r>
    </w:p>
    <w:p>
      <w:pPr>
        <w:pStyle w:val="ListParagraph"/>
        <w:numPr>
          <w:ilvl w:val="0"/>
          <w:numId w:val="2"/>
        </w:numPr>
        <w:spacing w:after="80"/>
      </w:pPr>
      <w:r>
        <w:rPr>
          <w:rFonts w:ascii="Marianne" w:cs="Marianne" w:eastAsia="Marianne" w:hAnsi="Marianne"/>
          <w:color w:val="3A3A3A"/>
          <w:sz w:val="21"/>
          <w:szCs w:val="21"/>
        </w:rPr>
        <w:t xml:space="preserve">Niveau 1 — Fichiers de suivi simples : migration vers Grist en quelques heures</w:t>
      </w:r>
    </w:p>
    <w:p>
      <w:pPr>
        <w:pStyle w:val="ListParagraph"/>
        <w:numPr>
          <w:ilvl w:val="0"/>
          <w:numId w:val="2"/>
        </w:numPr>
        <w:spacing w:after="80"/>
      </w:pPr>
      <w:r>
        <w:rPr>
          <w:rFonts w:ascii="Marianne" w:cs="Marianne" w:eastAsia="Marianne" w:hAnsi="Marianne"/>
          <w:color w:val="3A3A3A"/>
          <w:sz w:val="21"/>
          <w:szCs w:val="21"/>
        </w:rPr>
        <w:t xml:space="preserve">Niveau 2 — Fichiers à formules complexes : 1 à 2 semaines, interface DSFR complète</w:t>
      </w:r>
    </w:p>
    <w:p>
      <w:pPr>
        <w:pStyle w:val="ListParagraph"/>
        <w:numPr>
          <w:ilvl w:val="0"/>
          <w:numId w:val="2"/>
        </w:numPr>
        <w:spacing w:after="80"/>
      </w:pPr>
      <w:r>
        <w:rPr>
          <w:rFonts w:ascii="Marianne" w:cs="Marianne" w:eastAsia="Marianne" w:hAnsi="Marianne"/>
          <w:color w:val="3A3A3A"/>
          <w:sz w:val="21"/>
          <w:szCs w:val="21"/>
        </w:rPr>
        <w:t xml:space="preserve">Niveau 3 — Fichiers d’agrégation multi-sources : 2 à 4 semaines, connecteurs API</w:t>
      </w:r>
    </w:p>
    <w:p>
      <w:pPr>
        <w:pStyle w:val="ListParagraph"/>
        <w:numPr>
          <w:ilvl w:val="0"/>
          <w:numId w:val="2"/>
        </w:numPr>
        <w:spacing w:after="80"/>
      </w:pPr>
      <w:r>
        <w:rPr>
          <w:rFonts w:ascii="Marianne" w:cs="Marianne" w:eastAsia="Marianne" w:hAnsi="Marianne"/>
          <w:color w:val="3A3A3A"/>
          <w:sz w:val="21"/>
          <w:szCs w:val="21"/>
        </w:rPr>
        <w:t xml:space="preserve">Niveau 4 — Fichiers à données sensibles : HORS PÉRIMÈTRE, signalés à BercyHub</w:t>
      </w:r>
    </w:p>
    <w:p>
      <w:pPr>
        <w:spacing w:after="160" w:line="276"/>
        <w:jc w:val="both"/>
      </w:pPr>
      <w:r>
        <w:rPr>
          <w:rFonts w:ascii="Marianne" w:cs="Marianne" w:eastAsia="Marianne" w:hAnsi="Marianne"/>
          <w:b/>
          <w:bCs/>
          <w:i w:val="false"/>
          <w:iCs w:val="false"/>
          <w:color w:val="3A3A3A"/>
          <w:sz w:val="21"/>
          <w:szCs w:val="21"/>
        </w:rPr>
        <w:t xml:space="preserve">Avec un score de 47/50 sur la grille d’évaluation — le plus élevé de tous les projets évalués — ExcelExit entre en priorité absolue dans le backlog.</w:t>
      </w:r>
    </w:p>
    <w:p>
      <w:r>
        <w:br w:type="page"/>
      </w:r>
    </w:p>
    <w:p>
      <w:pPr>
        <w:spacing w:before="200" w:after="80"/>
      </w:pPr>
      <w:r>
        <w:rPr>
          <w:rFonts w:ascii="Marianne" w:cs="Marianne" w:eastAsia="Marianne" w:hAnsi="Marianne"/>
          <w:caps/>
          <w:color w:val="000091"/>
          <w:spacing w:val="200"/>
          <w:sz w:val="18"/>
          <w:szCs w:val="18"/>
        </w:rPr>
        <w:t xml:space="preserve">PARTIE III</w:t>
      </w:r>
    </w:p>
    <w:p>
      <w:pPr>
        <w:pStyle w:val="Heading1"/>
        <w:spacing w:before="500" w:after="200"/>
      </w:pPr>
      <w:r>
        <w:rPr>
          <w:rFonts w:ascii="Marianne" w:cs="Marianne" w:eastAsia="Marianne" w:hAnsi="Marianne"/>
          <w:b/>
          <w:bCs/>
          <w:color w:val="000091"/>
          <w:sz w:val="32"/>
          <w:szCs w:val="32"/>
        </w:rPr>
        <w:t xml:space="preserve">Le cadre : gouvernance et garde-fous</w:t>
      </w:r>
    </w:p>
    <w:p>
      <w:pPr>
        <w:pStyle w:val="Heading2"/>
        <w:spacing w:before="360" w:after="160"/>
      </w:pPr>
      <w:r>
        <w:rPr>
          <w:rFonts w:ascii="Marianne" w:cs="Marianne" w:eastAsia="Marianne" w:hAnsi="Marianne"/>
          <w:b/>
          <w:bCs/>
          <w:color w:val="000091"/>
          <w:sz w:val="26"/>
          <w:szCs w:val="26"/>
        </w:rPr>
        <w:t xml:space="preserve">11. Gouvernance</w:t>
      </w:r>
    </w:p>
    <w:p>
      <w:pPr>
        <w:spacing w:after="160" w:line="276"/>
        <w:jc w:val="both"/>
      </w:pPr>
      <w:r>
        <w:rPr>
          <w:rFonts w:ascii="Marianne" w:cs="Marianne" w:eastAsia="Marianne" w:hAnsi="Marianne"/>
          <w:b w:val="false"/>
          <w:bCs w:val="false"/>
          <w:i w:val="false"/>
          <w:iCs w:val="false"/>
          <w:color w:val="3A3A3A"/>
          <w:sz w:val="21"/>
          <w:szCs w:val="21"/>
        </w:rPr>
        <w:t xml:space="preserve">Le Vibe Lab est un laboratoire, pas un programme. Sa gouvernance est conçue pour être légère, rapide et transparente.</w:t>
      </w:r>
    </w:p>
    <w:p>
      <w:pPr>
        <w:spacing w:before="240" w:after="120"/>
      </w:pPr>
      <w:r>
        <w:rPr>
          <w:rFonts w:ascii="Marianne" w:cs="Marianne" w:eastAsia="Marianne" w:hAnsi="Marianne"/>
          <w:b/>
          <w:bCs/>
          <w:color w:val="3A3A3A"/>
          <w:sz w:val="22"/>
          <w:szCs w:val="22"/>
        </w:rPr>
        <w:t xml:space="preserve">Cycle de vie d’un projet (4 à 8 semaines)</w:t>
      </w:r>
    </w:p>
    <w:p>
      <w:pPr>
        <w:spacing w:after="160" w:line="276"/>
        <w:jc w:val="both"/>
      </w:pPr>
      <w:r>
        <w:rPr>
          <w:rFonts w:ascii="Marianne" w:cs="Marianne" w:eastAsia="Marianne" w:hAnsi="Marianne"/>
          <w:b/>
          <w:bCs/>
          <w:i w:val="false"/>
          <w:iCs w:val="false"/>
          <w:color w:val="3A3A3A"/>
          <w:sz w:val="21"/>
          <w:szCs w:val="21"/>
        </w:rPr>
        <w:t xml:space="preserve">Phase 1 — Demande. </w:t>
      </w:r>
      <w:r>
        <w:rPr>
          <w:rFonts w:ascii="Marianne" w:cs="Marianne" w:eastAsia="Marianne" w:hAnsi="Marianne"/>
          <w:b w:val="false"/>
          <w:bCs w:val="false"/>
          <w:i w:val="false"/>
          <w:iCs w:val="false"/>
          <w:color w:val="3A3A3A"/>
          <w:sz w:val="21"/>
          <w:szCs w:val="21"/>
        </w:rPr>
        <w:t xml:space="preserve">Une direction identifie un besoin et le soumet via un canal unique. Le Lab vérifie les critères d’entrée (6 critères obligatoires).</w:t>
      </w:r>
    </w:p>
    <w:p>
      <w:pPr>
        <w:spacing w:after="160" w:line="276"/>
        <w:jc w:val="both"/>
      </w:pPr>
      <w:r>
        <w:rPr>
          <w:rFonts w:ascii="Marianne" w:cs="Marianne" w:eastAsia="Marianne" w:hAnsi="Marianne"/>
          <w:b/>
          <w:bCs/>
          <w:i w:val="false"/>
          <w:iCs w:val="false"/>
          <w:color w:val="3A3A3A"/>
          <w:sz w:val="21"/>
          <w:szCs w:val="21"/>
        </w:rPr>
        <w:t xml:space="preserve">Phase 2 — Évaluation. </w:t>
      </w:r>
      <w:r>
        <w:rPr>
          <w:rFonts w:ascii="Marianne" w:cs="Marianne" w:eastAsia="Marianne" w:hAnsi="Marianne"/>
          <w:b w:val="false"/>
          <w:bCs w:val="false"/>
          <w:i w:val="false"/>
          <w:iCs w:val="false"/>
          <w:color w:val="3A3A3A"/>
          <w:sz w:val="21"/>
          <w:szCs w:val="21"/>
        </w:rPr>
        <w:t xml:space="preserve">La grille de scoring (50 points, 6 critères pondérés) classe le projet dans le backlog.</w:t>
      </w:r>
    </w:p>
    <w:p>
      <w:pPr>
        <w:spacing w:after="160" w:line="276"/>
        <w:jc w:val="both"/>
      </w:pPr>
      <w:r>
        <w:rPr>
          <w:rFonts w:ascii="Marianne" w:cs="Marianne" w:eastAsia="Marianne" w:hAnsi="Marianne"/>
          <w:b/>
          <w:bCs/>
          <w:i w:val="false"/>
          <w:iCs w:val="false"/>
          <w:color w:val="3A3A3A"/>
          <w:sz w:val="21"/>
          <w:szCs w:val="21"/>
        </w:rPr>
        <w:t xml:space="preserve">Phase 3 — Prototypage. </w:t>
      </w:r>
      <w:r>
        <w:rPr>
          <w:rFonts w:ascii="Marianne" w:cs="Marianne" w:eastAsia="Marianne" w:hAnsi="Marianne"/>
          <w:b w:val="false"/>
          <w:bCs w:val="false"/>
          <w:i w:val="false"/>
          <w:iCs w:val="false"/>
          <w:color w:val="3A3A3A"/>
          <w:sz w:val="21"/>
          <w:szCs w:val="21"/>
        </w:rPr>
        <w:t xml:space="preserve">Sprint de 1 à 2 semaines. Livrable : prototype fonctionnel testable.</w:t>
      </w:r>
    </w:p>
    <w:p>
      <w:pPr>
        <w:spacing w:after="160" w:line="276"/>
        <w:jc w:val="both"/>
      </w:pPr>
      <w:r>
        <w:rPr>
          <w:rFonts w:ascii="Marianne" w:cs="Marianne" w:eastAsia="Marianne" w:hAnsi="Marianne"/>
          <w:b/>
          <w:bCs/>
          <w:i w:val="false"/>
          <w:iCs w:val="false"/>
          <w:color w:val="3A3A3A"/>
          <w:sz w:val="21"/>
          <w:szCs w:val="21"/>
        </w:rPr>
        <w:t xml:space="preserve">Phase 4 — Test et itération. </w:t>
      </w:r>
      <w:r>
        <w:rPr>
          <w:rFonts w:ascii="Marianne" w:cs="Marianne" w:eastAsia="Marianne" w:hAnsi="Marianne"/>
          <w:b w:val="false"/>
          <w:bCs w:val="false"/>
          <w:i w:val="false"/>
          <w:iCs w:val="false"/>
          <w:color w:val="3A3A3A"/>
          <w:sz w:val="21"/>
          <w:szCs w:val="21"/>
        </w:rPr>
        <w:t xml:space="preserve">Test utilisateur avec la direction sponsor. Itération rapide.</w:t>
      </w:r>
    </w:p>
    <w:p>
      <w:pPr>
        <w:spacing w:after="160" w:line="276"/>
        <w:jc w:val="both"/>
      </w:pPr>
      <w:r>
        <w:rPr>
          <w:rFonts w:ascii="Marianne" w:cs="Marianne" w:eastAsia="Marianne" w:hAnsi="Marianne"/>
          <w:b/>
          <w:bCs/>
          <w:i w:val="false"/>
          <w:iCs w:val="false"/>
          <w:color w:val="3A3A3A"/>
          <w:sz w:val="21"/>
          <w:szCs w:val="21"/>
        </w:rPr>
        <w:t xml:space="preserve">Phase 5 — Bilan. </w:t>
      </w:r>
      <w:r>
        <w:rPr>
          <w:rFonts w:ascii="Marianne" w:cs="Marianne" w:eastAsia="Marianne" w:hAnsi="Marianne"/>
          <w:b w:val="false"/>
          <w:bCs w:val="false"/>
          <w:i w:val="false"/>
          <w:iCs w:val="false"/>
          <w:color w:val="3A3A3A"/>
          <w:sz w:val="21"/>
          <w:szCs w:val="21"/>
        </w:rPr>
        <w:t xml:space="preserve">Le prototype est-il adopté ? Usage réel ? Valeur démontrée ?</w:t>
      </w:r>
    </w:p>
    <w:p>
      <w:pPr>
        <w:spacing w:after="160" w:line="276"/>
        <w:jc w:val="both"/>
      </w:pPr>
      <w:r>
        <w:rPr>
          <w:rFonts w:ascii="Marianne" w:cs="Marianne" w:eastAsia="Marianne" w:hAnsi="Marianne"/>
          <w:b/>
          <w:bCs/>
          <w:i w:val="false"/>
          <w:iCs w:val="false"/>
          <w:color w:val="3A3A3A"/>
          <w:sz w:val="21"/>
          <w:szCs w:val="21"/>
        </w:rPr>
        <w:t xml:space="preserve">Phase 6 — Décision. </w:t>
      </w:r>
      <w:r>
        <w:rPr>
          <w:rFonts w:ascii="Marianne" w:cs="Marianne" w:eastAsia="Marianne" w:hAnsi="Marianne"/>
          <w:b w:val="false"/>
          <w:bCs w:val="false"/>
          <w:i w:val="false"/>
          <w:iCs w:val="false"/>
          <w:color w:val="3A3A3A"/>
          <w:sz w:val="21"/>
          <w:szCs w:val="21"/>
        </w:rPr>
        <w:t xml:space="preserve">Trois issues : pérenniser, transférer à BercyHub, ou abandonner.</w:t>
      </w:r>
    </w:p>
    <w:p>
      <w:pPr>
        <w:spacing w:before="240" w:after="120"/>
      </w:pPr>
      <w:r>
        <w:rPr>
          <w:rFonts w:ascii="Marianne" w:cs="Marianne" w:eastAsia="Marianne" w:hAnsi="Marianne"/>
          <w:b/>
          <w:bCs/>
          <w:color w:val="3A3A3A"/>
          <w:sz w:val="22"/>
          <w:szCs w:val="22"/>
        </w:rPr>
        <w:t xml:space="preserve">Instances</w:t>
      </w:r>
    </w:p>
    <w:p>
      <w:pPr>
        <w:spacing w:after="160" w:line="276"/>
        <w:jc w:val="both"/>
      </w:pPr>
      <w:r>
        <w:rPr>
          <w:rFonts w:ascii="Marianne" w:cs="Marianne" w:eastAsia="Marianne" w:hAnsi="Marianne"/>
          <w:b/>
          <w:bCs/>
          <w:i w:val="false"/>
          <w:iCs w:val="false"/>
          <w:color w:val="3A3A3A"/>
          <w:sz w:val="21"/>
          <w:szCs w:val="21"/>
        </w:rPr>
        <w:t xml:space="preserve">Comité de priorisation (mensuel, 30 min). </w:t>
      </w:r>
      <w:r>
        <w:rPr>
          <w:rFonts w:ascii="Marianne" w:cs="Marianne" w:eastAsia="Marianne" w:hAnsi="Marianne"/>
          <w:b w:val="false"/>
          <w:bCs w:val="false"/>
          <w:i w:val="false"/>
          <w:iCs w:val="false"/>
          <w:color w:val="3A3A3A"/>
          <w:sz w:val="21"/>
          <w:szCs w:val="21"/>
        </w:rPr>
        <w:t xml:space="preserve">Responsable Vibe Lab + sponsors métier. Revue du backlog, décision d’entrée, point d’avancement.</w:t>
      </w:r>
    </w:p>
    <w:p>
      <w:pPr>
        <w:spacing w:after="160" w:line="276"/>
        <w:jc w:val="both"/>
      </w:pPr>
      <w:r>
        <w:rPr>
          <w:rFonts w:ascii="Marianne" w:cs="Marianne" w:eastAsia="Marianne" w:hAnsi="Marianne"/>
          <w:b/>
          <w:bCs/>
          <w:i w:val="false"/>
          <w:iCs w:val="false"/>
          <w:color w:val="3A3A3A"/>
          <w:sz w:val="21"/>
          <w:szCs w:val="21"/>
        </w:rPr>
        <w:t xml:space="preserve">Revue trimestrielle (1h). </w:t>
      </w:r>
      <w:r>
        <w:rPr>
          <w:rFonts w:ascii="Marianne" w:cs="Marianne" w:eastAsia="Marianne" w:hAnsi="Marianne"/>
          <w:b w:val="false"/>
          <w:bCs w:val="false"/>
          <w:i w:val="false"/>
          <w:iCs w:val="false"/>
          <w:color w:val="3A3A3A"/>
          <w:sz w:val="21"/>
          <w:szCs w:val="21"/>
        </w:rPr>
        <w:t xml:space="preserve">Responsable Vibe Lab + SNUM n+2. Bilan des projets, indicateurs, arbitrages stratégiques.</w:t>
      </w:r>
    </w:p>
    <w:p>
      <w:pPr>
        <w:spacing w:after="160" w:line="276"/>
        <w:jc w:val="both"/>
      </w:pPr>
      <w:r>
        <w:rPr>
          <w:rFonts w:ascii="Marianne" w:cs="Marianne" w:eastAsia="Marianne" w:hAnsi="Marianne"/>
          <w:b/>
          <w:bCs/>
          <w:i w:val="false"/>
          <w:iCs w:val="false"/>
          <w:color w:val="3A3A3A"/>
          <w:sz w:val="21"/>
          <w:szCs w:val="21"/>
        </w:rPr>
        <w:t xml:space="preserve">Point BercyHub (trimestriel). </w:t>
      </w:r>
      <w:r>
        <w:rPr>
          <w:rFonts w:ascii="Marianne" w:cs="Marianne" w:eastAsia="Marianne" w:hAnsi="Marianne"/>
          <w:b w:val="false"/>
          <w:bCs w:val="false"/>
          <w:i w:val="false"/>
          <w:iCs w:val="false"/>
          <w:color w:val="3A3A3A"/>
          <w:sz w:val="21"/>
          <w:szCs w:val="21"/>
        </w:rPr>
        <w:t xml:space="preserve">Revue des projets en cours, identification des transferts possibles, cohérence des périmètres.</w:t>
      </w:r>
    </w:p>
    <w:p>
      <w:pPr>
        <w:spacing w:before="240" w:after="120"/>
      </w:pPr>
      <w:r>
        <w:rPr>
          <w:rFonts w:ascii="Marianne" w:cs="Marianne" w:eastAsia="Marianne" w:hAnsi="Marianne"/>
          <w:b/>
          <w:bCs/>
          <w:color w:val="3A3A3A"/>
          <w:sz w:val="22"/>
          <w:szCs w:val="22"/>
        </w:rPr>
        <w:t xml:space="preserve">Cinq règles cardinales</w:t>
      </w:r>
    </w:p>
    <w:p>
      <w:pPr>
        <w:pStyle w:val="ListParagraph"/>
        <w:numPr>
          <w:ilvl w:val="0"/>
          <w:numId w:val="2"/>
        </w:numPr>
        <w:spacing w:after="80"/>
      </w:pPr>
      <w:r>
        <w:rPr>
          <w:rFonts w:ascii="Marianne" w:cs="Marianne" w:eastAsia="Marianne" w:hAnsi="Marianne"/>
          <w:color w:val="3A3A3A"/>
          <w:sz w:val="21"/>
          <w:szCs w:val="21"/>
        </w:rPr>
        <w:t xml:space="preserve">Pas de projet sans sponsor métier identifié</w:t>
      </w:r>
    </w:p>
    <w:p>
      <w:pPr>
        <w:pStyle w:val="ListParagraph"/>
        <w:numPr>
          <w:ilvl w:val="0"/>
          <w:numId w:val="2"/>
        </w:numPr>
        <w:spacing w:after="80"/>
      </w:pPr>
      <w:r>
        <w:rPr>
          <w:rFonts w:ascii="Marianne" w:cs="Marianne" w:eastAsia="Marianne" w:hAnsi="Marianne"/>
          <w:color w:val="3A3A3A"/>
          <w:sz w:val="21"/>
          <w:szCs w:val="21"/>
        </w:rPr>
        <w:t xml:space="preserve">Pas de projet hors périmètre (données publiques ou agrégées uniquement)</w:t>
      </w:r>
    </w:p>
    <w:p>
      <w:pPr>
        <w:pStyle w:val="ListParagraph"/>
        <w:numPr>
          <w:ilvl w:val="0"/>
          <w:numId w:val="2"/>
        </w:numPr>
        <w:spacing w:after="80"/>
      </w:pPr>
      <w:r>
        <w:rPr>
          <w:rFonts w:ascii="Marianne" w:cs="Marianne" w:eastAsia="Marianne" w:hAnsi="Marianne"/>
          <w:color w:val="3A3A3A"/>
          <w:sz w:val="21"/>
          <w:szCs w:val="21"/>
        </w:rPr>
        <w:t xml:space="preserve">Maximum 5 projets actifs simultanément</w:t>
      </w:r>
    </w:p>
    <w:p>
      <w:pPr>
        <w:pStyle w:val="ListParagraph"/>
        <w:numPr>
          <w:ilvl w:val="0"/>
          <w:numId w:val="2"/>
        </w:numPr>
        <w:spacing w:after="80"/>
      </w:pPr>
      <w:r>
        <w:rPr>
          <w:rFonts w:ascii="Marianne" w:cs="Marianne" w:eastAsia="Marianne" w:hAnsi="Marianne"/>
          <w:color w:val="3A3A3A"/>
          <w:sz w:val="21"/>
          <w:szCs w:val="21"/>
        </w:rPr>
        <w:t xml:space="preserve">Abandon à 4 semaines sans usage</w:t>
      </w:r>
    </w:p>
    <w:p>
      <w:pPr>
        <w:pStyle w:val="ListParagraph"/>
        <w:numPr>
          <w:ilvl w:val="0"/>
          <w:numId w:val="2"/>
        </w:numPr>
        <w:spacing w:after="80"/>
      </w:pPr>
      <w:r>
        <w:rPr>
          <w:rFonts w:ascii="Marianne" w:cs="Marianne" w:eastAsia="Marianne" w:hAnsi="Marianne"/>
          <w:color w:val="3A3A3A"/>
          <w:sz w:val="21"/>
          <w:szCs w:val="21"/>
        </w:rPr>
        <w:t xml:space="preserve">Transparence totale : code sur GitHub, métriques dans le tableau de bord, bilans dans la revue trimestrielle</w:t>
      </w:r>
    </w:p>
    <w:p>
      <w:pPr>
        <w:pStyle w:val="Heading2"/>
        <w:spacing w:before="360" w:after="160"/>
      </w:pPr>
      <w:r>
        <w:rPr>
          <w:rFonts w:ascii="Marianne" w:cs="Marianne" w:eastAsia="Marianne" w:hAnsi="Marianne"/>
          <w:b/>
          <w:bCs/>
          <w:color w:val="000091"/>
          <w:sz w:val="26"/>
          <w:szCs w:val="26"/>
        </w:rPr>
        <w:t xml:space="preserve">12. Grille d’évaluation</w:t>
      </w:r>
    </w:p>
    <w:p>
      <w:pPr>
        <w:spacing w:before="240" w:after="120"/>
      </w:pPr>
      <w:r>
        <w:rPr>
          <w:rFonts w:ascii="Marianne" w:cs="Marianne" w:eastAsia="Marianne" w:hAnsi="Marianne"/>
          <w:b/>
          <w:bCs/>
          <w:color w:val="3A3A3A"/>
          <w:sz w:val="22"/>
          <w:szCs w:val="22"/>
        </w:rPr>
        <w:t xml:space="preserve">Critères d’entrée (tous obligatoires)</w:t>
      </w:r>
    </w:p>
    <w:p>
      <w:pPr>
        <w:pStyle w:val="ListParagraph"/>
        <w:numPr>
          <w:ilvl w:val="0"/>
          <w:numId w:val="2"/>
        </w:numPr>
        <w:spacing w:after="80"/>
      </w:pPr>
      <w:r>
        <w:rPr>
          <w:rFonts w:ascii="Marianne" w:cs="Marianne" w:eastAsia="Marianne" w:hAnsi="Marianne"/>
          <w:color w:val="3A3A3A"/>
          <w:sz w:val="21"/>
          <w:szCs w:val="21"/>
        </w:rPr>
        <w:t xml:space="preserve">Sponsor métier identifié (une direction ou un bureau porte le besoin)</w:t>
      </w:r>
    </w:p>
    <w:p>
      <w:pPr>
        <w:pStyle w:val="ListParagraph"/>
        <w:numPr>
          <w:ilvl w:val="0"/>
          <w:numId w:val="2"/>
        </w:numPr>
        <w:spacing w:after="80"/>
      </w:pPr>
      <w:r>
        <w:rPr>
          <w:rFonts w:ascii="Marianne" w:cs="Marianne" w:eastAsia="Marianne" w:hAnsi="Marianne"/>
          <w:color w:val="3A3A3A"/>
          <w:sz w:val="21"/>
          <w:szCs w:val="21"/>
        </w:rPr>
        <w:t xml:space="preserve">Données publiques ou agrégées (aucune donnée personnelle ou sensible)</w:t>
      </w:r>
    </w:p>
    <w:p>
      <w:pPr>
        <w:pStyle w:val="ListParagraph"/>
        <w:numPr>
          <w:ilvl w:val="0"/>
          <w:numId w:val="2"/>
        </w:numPr>
        <w:spacing w:after="80"/>
      </w:pPr>
      <w:r>
        <w:rPr>
          <w:rFonts w:ascii="Marianne" w:cs="Marianne" w:eastAsia="Marianne" w:hAnsi="Marianne"/>
          <w:color w:val="3A3A3A"/>
          <w:sz w:val="21"/>
          <w:szCs w:val="21"/>
        </w:rPr>
        <w:t xml:space="preserve">Hors périmètre BercyHub (pas de connexion à un SI métier)</w:t>
      </w:r>
    </w:p>
    <w:p>
      <w:pPr>
        <w:pStyle w:val="ListParagraph"/>
        <w:numPr>
          <w:ilvl w:val="0"/>
          <w:numId w:val="2"/>
        </w:numPr>
        <w:spacing w:after="80"/>
      </w:pPr>
      <w:r>
        <w:rPr>
          <w:rFonts w:ascii="Marianne" w:cs="Marianne" w:eastAsia="Marianne" w:hAnsi="Marianne"/>
          <w:color w:val="3A3A3A"/>
          <w:sz w:val="21"/>
          <w:szCs w:val="21"/>
        </w:rPr>
        <w:t xml:space="preserve">Pas de solution existante (pas de doublon avec un outil en service)</w:t>
      </w:r>
    </w:p>
    <w:p>
      <w:pPr>
        <w:pStyle w:val="ListParagraph"/>
        <w:numPr>
          <w:ilvl w:val="0"/>
          <w:numId w:val="2"/>
        </w:numPr>
        <w:spacing w:after="80"/>
      </w:pPr>
      <w:r>
        <w:rPr>
          <w:rFonts w:ascii="Marianne" w:cs="Marianne" w:eastAsia="Marianne" w:hAnsi="Marianne"/>
          <w:color w:val="3A3A3A"/>
          <w:sz w:val="21"/>
          <w:szCs w:val="21"/>
        </w:rPr>
        <w:t xml:space="preserve">Prototypable en ≤ 4 semaines (si plus, c’est un projet SI classique)</w:t>
      </w:r>
    </w:p>
    <w:p>
      <w:pPr>
        <w:pStyle w:val="ListParagraph"/>
        <w:numPr>
          <w:ilvl w:val="0"/>
          <w:numId w:val="2"/>
        </w:numPr>
        <w:spacing w:after="80"/>
      </w:pPr>
      <w:r>
        <w:rPr>
          <w:rFonts w:ascii="Marianne" w:cs="Marianne" w:eastAsia="Marianne" w:hAnsi="Marianne"/>
          <w:color w:val="3A3A3A"/>
          <w:sz w:val="21"/>
          <w:szCs w:val="21"/>
        </w:rPr>
        <w:t xml:space="preserve">Alignement avec les missions du Lab (outillage, pilotage, communication)</w:t>
      </w:r>
    </w:p>
    <w:p>
      <w:pPr>
        <w:spacing w:before="240" w:after="120"/>
      </w:pPr>
      <w:r>
        <w:rPr>
          <w:rFonts w:ascii="Marianne" w:cs="Marianne" w:eastAsia="Marianne" w:hAnsi="Marianne"/>
          <w:b/>
          <w:bCs/>
          <w:color w:val="3A3A3A"/>
          <w:sz w:val="22"/>
          <w:szCs w:val="22"/>
        </w:rPr>
        <w:t xml:space="preserve">Scoring de priorisation (sur 50 points)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Critère</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Poids</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Description</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Impact utilisateur</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x2 (max 10)</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Nombre d’agents concernés, fréquence d’usage</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Alignement stratégique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x2 (max 10)</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Lien avec les priorités SNUM, SG, BercyHub</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Faisabilité technique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x2 (max 10)</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Données disponibles, API existantes, complexité</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Effet vitrine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x1 (max 5)</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Visibilité, démonstration de la valeur du Lab</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Réutilisabilité</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x1 (max 5)</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Applicabilité à d’autres directions/ministères</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Urgence métier</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x2 (max 10)</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Deadline réglementaire, perte de données, blocage</w:t>
            </w:r>
          </w:p>
        </w:tc>
      </w:tr>
    </w:tbl>
    <w:p>
      <w:pPr>
        <w:spacing w:before="80" w:after="0"/>
      </w:pPr>
    </w:p>
    <w:p>
      <w:pPr>
        <w:spacing w:before="240" w:after="120"/>
      </w:pPr>
      <w:r>
        <w:rPr>
          <w:rFonts w:ascii="Marianne" w:cs="Marianne" w:eastAsia="Marianne" w:hAnsi="Marianne"/>
          <w:b/>
          <w:bCs/>
          <w:color w:val="3A3A3A"/>
          <w:sz w:val="22"/>
          <w:szCs w:val="22"/>
        </w:rPr>
        <w:t xml:space="preserve">Exemples de scoring</w:t>
      </w:r>
    </w:p>
    <w:p>
      <w:pPr>
        <w:spacing w:after="160" w:line="276"/>
        <w:jc w:val="both"/>
      </w:pPr>
      <w:r>
        <w:rPr>
          <w:rFonts w:ascii="Marianne" w:cs="Marianne" w:eastAsia="Marianne" w:hAnsi="Marianne"/>
          <w:b/>
          <w:bCs/>
          <w:i w:val="false"/>
          <w:iCs w:val="false"/>
          <w:color w:val="000091"/>
          <w:sz w:val="21"/>
          <w:szCs w:val="21"/>
        </w:rPr>
        <w:t xml:space="preserve">Écosystème (G3) : 44/50 </w:t>
      </w:r>
      <w:r>
        <w:rPr>
          <w:rFonts w:ascii="Marianne" w:cs="Marianne" w:eastAsia="Marianne" w:hAnsi="Marianne"/>
          <w:b w:val="false"/>
          <w:bCs w:val="false"/>
          <w:i w:val="false"/>
          <w:iCs w:val="false"/>
          <w:color w:val="3A3A3A"/>
          <w:sz w:val="21"/>
          <w:szCs w:val="21"/>
        </w:rPr>
        <w:t xml:space="preserve">— Pérennisé. En production depuis décembre 2025.</w:t>
      </w:r>
    </w:p>
    <w:p>
      <w:pPr>
        <w:spacing w:after="160" w:line="276"/>
        <w:jc w:val="both"/>
      </w:pPr>
      <w:r>
        <w:rPr>
          <w:rFonts w:ascii="Marianne" w:cs="Marianne" w:eastAsia="Marianne" w:hAnsi="Marianne"/>
          <w:b/>
          <w:bCs/>
          <w:i w:val="false"/>
          <w:iCs w:val="false"/>
          <w:color w:val="000091"/>
          <w:sz w:val="21"/>
          <w:szCs w:val="21"/>
        </w:rPr>
        <w:t xml:space="preserve">ExcelExit : 47/50 </w:t>
      </w:r>
      <w:r>
        <w:rPr>
          <w:rFonts w:ascii="Marianne" w:cs="Marianne" w:eastAsia="Marianne" w:hAnsi="Marianne"/>
          <w:b w:val="false"/>
          <w:bCs w:val="false"/>
          <w:i w:val="false"/>
          <w:iCs w:val="false"/>
          <w:color w:val="3A3A3A"/>
          <w:sz w:val="21"/>
          <w:szCs w:val="21"/>
        </w:rPr>
        <w:t xml:space="preserve">— Entrée prioritaire. Score le plus élevé de tous les projets évalués.</w:t>
      </w:r>
    </w:p>
    <w:p>
      <w:pPr>
        <w:pStyle w:val="Heading2"/>
        <w:spacing w:before="360" w:after="160"/>
      </w:pPr>
      <w:r>
        <w:rPr>
          <w:rFonts w:ascii="Marianne" w:cs="Marianne" w:eastAsia="Marianne" w:hAnsi="Marianne"/>
          <w:b/>
          <w:bCs/>
          <w:color w:val="000091"/>
          <w:sz w:val="26"/>
          <w:szCs w:val="26"/>
        </w:rPr>
        <w:t xml:space="preserve">13. Matrice des risques</w:t>
      </w:r>
    </w:p>
    <w:p>
      <w:pPr>
        <w:spacing w:after="160" w:line="276"/>
        <w:jc w:val="both"/>
      </w:pPr>
      <w:r>
        <w:rPr>
          <w:rFonts w:ascii="Marianne" w:cs="Marianne" w:eastAsia="Marianne" w:hAnsi="Marianne"/>
          <w:b w:val="false"/>
          <w:bCs w:val="false"/>
          <w:i w:val="false"/>
          <w:iCs w:val="false"/>
          <w:color w:val="3A3A3A"/>
          <w:sz w:val="21"/>
          <w:szCs w:val="21"/>
        </w:rPr>
        <w:t xml:space="preserve">8 risques identifiés, classés par probabilité et impact. Aucun risque résiduel critique après application des mesures d’atténuation.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5"/>
        <w:gridCol w:w="1805"/>
        <w:gridCol w:w="1805"/>
        <w:gridCol w:w="1805"/>
        <w:gridCol w:w="1805"/>
      </w:tblGrid>
      <w:tr>
        <w:tc>
          <w:tcPr>
            <w:tcW w:type="dxa" w:w="1805"/>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Risque</w:t>
            </w:r>
          </w:p>
        </w:tc>
        <w:tc>
          <w:tcPr>
            <w:tcW w:type="dxa" w:w="1805"/>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Probabilité</w:t>
            </w:r>
          </w:p>
        </w:tc>
        <w:tc>
          <w:tcPr>
            <w:tcW w:type="dxa" w:w="1805"/>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Impact brut</w:t>
            </w:r>
          </w:p>
        </w:tc>
        <w:tc>
          <w:tcPr>
            <w:tcW w:type="dxa" w:w="1805"/>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Mesure d’atténuation</w:t>
            </w:r>
          </w:p>
        </w:tc>
        <w:tc>
          <w:tcPr>
            <w:tcW w:type="dxa" w:w="1805"/>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Résiduel</w:t>
            </w:r>
          </w:p>
        </w:tc>
      </w:tr>
      <w:tr>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Dépendance IA commerciale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Élevée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Architecture multi-modèles + Albert</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Faible</w:t>
            </w:r>
          </w:p>
        </w:tc>
      </w:tr>
      <w:tr>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Confusion périmètre BercyHub</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Élevée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Critique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Règle absolue + point trimestriel</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Faible</w:t>
            </w:r>
          </w:p>
        </w:tc>
      </w:tr>
      <w:tr>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Qualité du code généré</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Revue systématique, tests, CI/CD</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Faible</w:t>
            </w:r>
          </w:p>
        </w:tc>
      </w:tr>
      <w:tr>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Effet tunnel (projets sans fin)</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Abandon à 4 semaines sans usage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Faible</w:t>
            </w:r>
          </w:p>
        </w:tc>
      </w:tr>
      <w:tr>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Dépendance à un seul agent</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Élevée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Élevé</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Documentation, scoring objectif</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w:t>
            </w:r>
          </w:p>
        </w:tc>
      </w:tr>
      <w:tr>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Rejet institutionnel</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Élevé</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Communication ciblée, victoires rapides</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w:t>
            </w:r>
          </w:p>
        </w:tc>
      </w:tr>
      <w:tr>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Obsolescence des outils IA</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Faible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Veille continue, architecture modulaire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Faible</w:t>
            </w:r>
          </w:p>
        </w:tc>
      </w:tr>
      <w:tr>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Dérive du périmètre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Modérée</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Modéré</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5 règles cardinales, max 5 projets actifs</w:t>
            </w:r>
          </w:p>
        </w:tc>
        <w:tc>
          <w:tcPr>
            <w:tcW w:type="dxa" w:w="1805"/>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Faible</w:t>
            </w:r>
          </w:p>
        </w:tc>
      </w:tr>
    </w:tbl>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i w:val="false"/>
                <w:iCs w:val="false"/>
                <w:color w:val="000091"/>
                <w:sz w:val="21"/>
                <w:szCs w:val="21"/>
              </w:rPr>
              <w:t xml:space="preserve">6 risques sur 8 à résiduel faible — maîtrisés par l’architecture et les règles de gouvernance.</w:t>
            </w:r>
          </w:p>
          <w:p>
            <w:pPr>
              <w:spacing w:before="40" w:after="40" w:line="276"/>
            </w:pPr>
            <w:r>
              <w:rPr>
                <w:rFonts w:ascii="Marianne" w:cs="Marianne" w:eastAsia="Marianne" w:hAnsi="Marianne"/>
                <w:b/>
                <w:bCs/>
                <w:i w:val="false"/>
                <w:iCs w:val="false"/>
                <w:color w:val="000091"/>
                <w:sz w:val="21"/>
                <w:szCs w:val="21"/>
              </w:rPr>
              <w:t xml:space="preserve">2 risques à résiduel modéré — atténués par la gouvernance, à surveiller via KPI.</w:t>
            </w:r>
          </w:p>
        </w:tc>
      </w:tr>
    </w:tbl>
    <w:p>
      <w:pPr>
        <w:pStyle w:val="Heading2"/>
        <w:spacing w:before="360" w:after="160"/>
      </w:pPr>
      <w:r>
        <w:rPr>
          <w:rFonts w:ascii="Marianne" w:cs="Marianne" w:eastAsia="Marianne" w:hAnsi="Marianne"/>
          <w:b/>
          <w:bCs/>
          <w:color w:val="000091"/>
          <w:sz w:val="26"/>
          <w:szCs w:val="26"/>
        </w:rPr>
        <w:t xml:space="preserve">14. Plan de communication (12 semaines)</w:t>
      </w:r>
    </w:p>
    <w:p>
      <w:pPr>
        <w:spacing w:after="160" w:line="276"/>
        <w:jc w:val="both"/>
      </w:pPr>
      <w:r>
        <w:rPr>
          <w:rFonts w:ascii="Marianne" w:cs="Marianne" w:eastAsia="Marianne" w:hAnsi="Marianne"/>
          <w:b w:val="false"/>
          <w:bCs w:val="false"/>
          <w:i w:val="false"/>
          <w:iCs w:val="false"/>
          <w:color w:val="3A3A3A"/>
          <w:sz w:val="21"/>
          <w:szCs w:val="21"/>
        </w:rPr>
        <w:t xml:space="preserve">Le plan de communication vise à transformer la visibilité du Lab pour générer la demande entrante. Principe fondamental : ne jamais communiquer sur ce que le Lab pourrait faire — communiquer sur ce qu’il a déjà fait.</w:t>
      </w:r>
    </w:p>
    <w:p>
      <w:pPr>
        <w:spacing w:before="240" w:after="120"/>
      </w:pPr>
      <w:r>
        <w:rPr>
          <w:rFonts w:ascii="Marianne" w:cs="Marianne" w:eastAsia="Marianne" w:hAnsi="Marianne"/>
          <w:b/>
          <w:bCs/>
          <w:color w:val="3A3A3A"/>
          <w:sz w:val="22"/>
          <w:szCs w:val="22"/>
        </w:rPr>
        <w:t xml:space="preserve">Six audiences, six messages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Audience</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Ce qu’ils redoutent</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Le message clé</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SNUM / Direction</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Risque, coût, doublon BercyHub</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663 K€ de valeur, 1 agent, ~1 000 €/mois, 0 interférence</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BercyHub</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Confusion de périmètre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On est votre éclaireur, pas votre concurrent</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DSI / Architectes</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Shadow IT, dette technique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Tout est open source, CI/CD, Docker, DSFR natif</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Directions métier</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Un gadget de plus</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Un outil construit pour vous en 2 semaines</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Agents contributeurs</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Encore un outil à apprendre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Ça résout votre problème du quotidien</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Interministériel / DINUM</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Pas assez sérieux pour eux</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Composants DSFR, Grist, Albert, open source</w:t>
            </w:r>
          </w:p>
        </w:tc>
      </w:tr>
    </w:tbl>
    <w:p>
      <w:pPr>
        <w:spacing w:before="80" w:after="0"/>
      </w:pPr>
    </w:p>
    <w:p>
      <w:pPr>
        <w:spacing w:before="240" w:after="120"/>
      </w:pPr>
      <w:r>
        <w:rPr>
          <w:rFonts w:ascii="Marianne" w:cs="Marianne" w:eastAsia="Marianne" w:hAnsi="Marianne"/>
          <w:b/>
          <w:bCs/>
          <w:color w:val="3A3A3A"/>
          <w:sz w:val="22"/>
          <w:szCs w:val="22"/>
        </w:rPr>
        <w:t xml:space="preserve">Calendrier</w:t>
      </w:r>
    </w:p>
    <w:p>
      <w:pPr>
        <w:spacing w:after="160" w:line="276"/>
        <w:jc w:val="both"/>
      </w:pPr>
      <w:r>
        <w:rPr>
          <w:rFonts w:ascii="Marianne" w:cs="Marianne" w:eastAsia="Marianne" w:hAnsi="Marianne"/>
          <w:b/>
          <w:bCs/>
          <w:i w:val="false"/>
          <w:iCs w:val="false"/>
          <w:color w:val="3A3A3A"/>
          <w:sz w:val="21"/>
          <w:szCs w:val="21"/>
        </w:rPr>
        <w:t xml:space="preserve">Semaines 1–4 (Fondations) : </w:t>
      </w:r>
      <w:r>
        <w:rPr>
          <w:rFonts w:ascii="Marianne" w:cs="Marianne" w:eastAsia="Marianne" w:hAnsi="Marianne"/>
          <w:b w:val="false"/>
          <w:bCs w:val="false"/>
          <w:i w:val="false"/>
          <w:iCs w:val="false"/>
          <w:color w:val="3A3A3A"/>
          <w:sz w:val="21"/>
          <w:szCs w:val="21"/>
        </w:rPr>
        <w:t xml:space="preserve">note SNUM, rendez-vous BercyHub, démo aux sponsors, publication GitHub.</w:t>
      </w:r>
    </w:p>
    <w:p>
      <w:pPr>
        <w:spacing w:after="160" w:line="276"/>
        <w:jc w:val="both"/>
      </w:pPr>
      <w:r>
        <w:rPr>
          <w:rFonts w:ascii="Marianne" w:cs="Marianne" w:eastAsia="Marianne" w:hAnsi="Marianne"/>
          <w:b/>
          <w:bCs/>
          <w:i w:val="false"/>
          <w:iCs w:val="false"/>
          <w:color w:val="3A3A3A"/>
          <w:sz w:val="21"/>
          <w:szCs w:val="21"/>
        </w:rPr>
        <w:t xml:space="preserve">Semaines 5–8 (Visibilité) : </w:t>
      </w:r>
      <w:r>
        <w:rPr>
          <w:rFonts w:ascii="Marianne" w:cs="Marianne" w:eastAsia="Marianne" w:hAnsi="Marianne"/>
          <w:b w:val="false"/>
          <w:bCs w:val="false"/>
          <w:i w:val="false"/>
          <w:iCs w:val="false"/>
          <w:color w:val="3A3A3A"/>
          <w:sz w:val="21"/>
          <w:szCs w:val="21"/>
        </w:rPr>
        <w:t xml:space="preserve">retour de démo DIRCOM, premier ExcelExit livré, article intranet, micro-événement.</w:t>
      </w:r>
    </w:p>
    <w:p>
      <w:pPr>
        <w:spacing w:after="160" w:line="276"/>
        <w:jc w:val="both"/>
      </w:pPr>
      <w:r>
        <w:rPr>
          <w:rFonts w:ascii="Marianne" w:cs="Marianne" w:eastAsia="Marianne" w:hAnsi="Marianne"/>
          <w:b/>
          <w:bCs/>
          <w:i w:val="false"/>
          <w:iCs w:val="false"/>
          <w:color w:val="3A3A3A"/>
          <w:sz w:val="21"/>
          <w:szCs w:val="21"/>
        </w:rPr>
        <w:t xml:space="preserve">Semaines 9–12 (Demande entrante) : </w:t>
      </w:r>
      <w:r>
        <w:rPr>
          <w:rFonts w:ascii="Marianne" w:cs="Marianne" w:eastAsia="Marianne" w:hAnsi="Marianne"/>
          <w:b w:val="false"/>
          <w:bCs w:val="false"/>
          <w:i w:val="false"/>
          <w:iCs w:val="false"/>
          <w:color w:val="3A3A3A"/>
          <w:sz w:val="21"/>
          <w:szCs w:val="21"/>
        </w:rPr>
        <w:t xml:space="preserve">bilan T+3, formulaire de demande, présentation au CODIR, publication interministérielle.</w:t>
      </w:r>
    </w:p>
    <w:p>
      <w:r>
        <w:br w:type="page"/>
      </w:r>
    </w:p>
    <w:p>
      <w:pPr>
        <w:spacing w:before="200" w:after="80"/>
      </w:pPr>
      <w:r>
        <w:rPr>
          <w:rFonts w:ascii="Marianne" w:cs="Marianne" w:eastAsia="Marianne" w:hAnsi="Marianne"/>
          <w:caps/>
          <w:color w:val="000091"/>
          <w:spacing w:val="200"/>
          <w:sz w:val="18"/>
          <w:szCs w:val="18"/>
        </w:rPr>
        <w:t xml:space="preserve">PARTIE IV</w:t>
      </w:r>
    </w:p>
    <w:p>
      <w:pPr>
        <w:pStyle w:val="Heading1"/>
        <w:spacing w:before="500" w:after="200"/>
      </w:pPr>
      <w:r>
        <w:rPr>
          <w:rFonts w:ascii="Marianne" w:cs="Marianne" w:eastAsia="Marianne" w:hAnsi="Marianne"/>
          <w:b/>
          <w:bCs/>
          <w:color w:val="000091"/>
          <w:sz w:val="32"/>
          <w:szCs w:val="32"/>
        </w:rPr>
        <w:t xml:space="preserve">La demande : moyens et calendrier</w:t>
      </w:r>
    </w:p>
    <w:p>
      <w:pPr>
        <w:pStyle w:val="Heading2"/>
        <w:spacing w:before="360" w:after="160"/>
      </w:pPr>
      <w:r>
        <w:rPr>
          <w:rFonts w:ascii="Marianne" w:cs="Marianne" w:eastAsia="Marianne" w:hAnsi="Marianne"/>
          <w:b/>
          <w:bCs/>
          <w:color w:val="000091"/>
          <w:sz w:val="26"/>
          <w:szCs w:val="26"/>
        </w:rPr>
        <w:t xml:space="preserve">15. Moyens demandés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i w:val="false"/>
                <w:iCs w:val="false"/>
                <w:color w:val="000091"/>
                <w:sz w:val="21"/>
                <w:szCs w:val="21"/>
              </w:rPr>
              <w:t xml:space="preserve">Équipe : 1 à 3 agents à temps plein (profils tech/produit)</w:t>
            </w:r>
          </w:p>
          <w:p>
            <w:pPr>
              <w:spacing w:before="40" w:after="40" w:line="276"/>
            </w:pPr>
            <w:r>
              <w:rPr>
                <w:rFonts w:ascii="Marianne" w:cs="Marianne" w:eastAsia="Marianne" w:hAnsi="Marianne"/>
                <w:b w:val="false"/>
                <w:bCs w:val="false"/>
                <w:i/>
                <w:iCs/>
                <w:color w:val="666666"/>
                <w:sz w:val="19"/>
                <w:szCs w:val="19"/>
              </w:rPr>
              <w:t xml:space="preserve">Des profils qui connaissent les métiers du ministère et maîtrisent les fondamentaux techniques. Le vibe coding ne nécessite pas d’être développeur senior, mais de savoir guider, valider et corriger le code produit par l’IA.</w:t>
            </w:r>
          </w:p>
          <w:p>
            <w:pPr>
              <w:spacing w:before="40" w:after="40" w:line="276"/>
            </w:pPr>
            <w:r>
              <w:rPr>
                <w:rFonts w:ascii="Marianne" w:cs="Marianne" w:eastAsia="Marianne" w:hAnsi="Marianne"/>
                <w:b w:val="false"/>
                <w:bCs w:val="false"/>
                <w:i w:val="false"/>
                <w:iCs w:val="false"/>
                <w:color w:val="000091"/>
                <w:sz w:val="8"/>
                <w:szCs w:val="8"/>
              </w:rPr>
              <w:t xml:space="preserve"/>
            </w:r>
          </w:p>
          <w:p>
            <w:pPr>
              <w:spacing w:before="40" w:after="40" w:line="276"/>
            </w:pPr>
            <w:r>
              <w:rPr>
                <w:rFonts w:ascii="Marianne" w:cs="Marianne" w:eastAsia="Marianne" w:hAnsi="Marianne"/>
                <w:b/>
                <w:bCs/>
                <w:i w:val="false"/>
                <w:iCs w:val="false"/>
                <w:color w:val="000091"/>
                <w:sz w:val="21"/>
                <w:szCs w:val="21"/>
              </w:rPr>
              <w:t xml:space="preserve">Licences IA : plafonnées à ~1 000 €/mois</w:t>
            </w:r>
          </w:p>
          <w:p>
            <w:pPr>
              <w:spacing w:before="40" w:after="40" w:line="276"/>
            </w:pPr>
            <w:r>
              <w:rPr>
                <w:rFonts w:ascii="Marianne" w:cs="Marianne" w:eastAsia="Marianne" w:hAnsi="Marianne"/>
                <w:b w:val="false"/>
                <w:bCs w:val="false"/>
                <w:i/>
                <w:iCs/>
                <w:color w:val="666666"/>
                <w:sz w:val="19"/>
                <w:szCs w:val="19"/>
              </w:rPr>
              <w:t xml:space="preserve">Claude Pro/Team (Anthropic) + GitHub Copilot, soit ~200-350 €/personne/mois.</w:t>
            </w:r>
          </w:p>
          <w:p>
            <w:pPr>
              <w:spacing w:before="40" w:after="40" w:line="276"/>
            </w:pPr>
            <w:r>
              <w:rPr>
                <w:rFonts w:ascii="Marianne" w:cs="Marianne" w:eastAsia="Marianne" w:hAnsi="Marianne"/>
                <w:b w:val="false"/>
                <w:bCs w:val="false"/>
                <w:i w:val="false"/>
                <w:iCs w:val="false"/>
                <w:color w:val="000091"/>
                <w:sz w:val="8"/>
                <w:szCs w:val="8"/>
              </w:rPr>
              <w:t xml:space="preserve"/>
            </w:r>
          </w:p>
          <w:p>
            <w:pPr>
              <w:spacing w:before="40" w:after="40" w:line="276"/>
            </w:pPr>
            <w:r>
              <w:rPr>
                <w:rFonts w:ascii="Marianne" w:cs="Marianne" w:eastAsia="Marianne" w:hAnsi="Marianne"/>
                <w:b/>
                <w:bCs/>
                <w:i w:val="false"/>
                <w:iCs w:val="false"/>
                <w:color w:val="000091"/>
                <w:sz w:val="21"/>
                <w:szCs w:val="21"/>
              </w:rPr>
              <w:t xml:space="preserve">Infrastructure : existante</w:t>
            </w:r>
          </w:p>
          <w:p>
            <w:pPr>
              <w:spacing w:before="40" w:after="40" w:line="276"/>
            </w:pPr>
            <w:r>
              <w:rPr>
                <w:rFonts w:ascii="Marianne" w:cs="Marianne" w:eastAsia="Marianne" w:hAnsi="Marianne"/>
                <w:b w:val="false"/>
                <w:bCs w:val="false"/>
                <w:i/>
                <w:iCs/>
                <w:color w:val="666666"/>
                <w:sz w:val="19"/>
                <w:szCs w:val="19"/>
              </w:rPr>
              <w:t xml:space="preserve">GitHub, CI/CD, Docker, hébergement — tout est déjà en place. Aucun investissement supplémentaire.</w:t>
            </w:r>
          </w:p>
        </w:tc>
      </w:tr>
    </w:tbl>
    <w:p>
      <w:pPr>
        <w:spacing w:before="100" w:after="0"/>
      </w:pPr>
    </w:p>
    <w:p>
      <w:pPr>
        <w:spacing w:before="240" w:after="120"/>
      </w:pPr>
      <w:r>
        <w:rPr>
          <w:rFonts w:ascii="Marianne" w:cs="Marianne" w:eastAsia="Marianne" w:hAnsi="Marianne"/>
          <w:b/>
          <w:bCs/>
          <w:color w:val="3A3A3A"/>
          <w:sz w:val="22"/>
          <w:szCs w:val="22"/>
        </w:rPr>
        <w:t xml:space="preserve">Budget annuel (hors masse salariale)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Poste</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Mensuel</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Annuel</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Licences IA (Claude, Copilot)</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~1 000 €</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~12 000 €</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Infrastructure (CI/CD, hébergement)</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~200 €</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~2 400 €</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Abonnements API</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~100 €</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~1 200 €</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TOTAL</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~1 300 €</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~15 600 €</w:t>
            </w:r>
          </w:p>
        </w:tc>
      </w:tr>
    </w:tbl>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2"/>
                <w:szCs w:val="22"/>
              </w:rPr>
              <w:t xml:space="preserve">Le coût annuel du Lab (15 600 €) représente 2,4 % de l’équivalent prestataire des 8 outils déjà produits (663 000 €). Le Lab s’autofinance dès son premier mois.</w:t>
            </w:r>
          </w:p>
        </w:tc>
      </w:tr>
    </w:tbl>
    <w:p>
      <w:pPr>
        <w:pStyle w:val="Heading2"/>
        <w:spacing w:before="360" w:after="160"/>
      </w:pPr>
      <w:r>
        <w:rPr>
          <w:rFonts w:ascii="Marianne" w:cs="Marianne" w:eastAsia="Marianne" w:hAnsi="Marianne"/>
          <w:b/>
          <w:bCs/>
          <w:color w:val="000091"/>
          <w:sz w:val="26"/>
          <w:szCs w:val="26"/>
        </w:rPr>
        <w:t xml:space="preserve">16. Montée en charge progressive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08"/>
      </w:tblGrid>
      <w:tr>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Phase</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Périmètre</w:t>
            </w:r>
          </w:p>
        </w:tc>
        <w:tc>
          <w:tcPr>
            <w:tcW w:type="dxa" w:w="3008"/>
            <w:tcBorders>
              <w:top w:val="single" w:color="CCCCCC" w:sz="1"/>
              <w:left w:val="single" w:color="CCCCCC" w:sz="1"/>
              <w:bottom w:val="single" w:color="CCCCCC" w:sz="1"/>
              <w:right w:val="single" w:color="CCCCCC" w:sz="1"/>
            </w:tcBorders>
            <w:shd w:fill="000091" w:val="clear"/>
            <w:tcMar>
              <w:top w:type="dxa" w:w="80"/>
              <w:left w:type="dxa" w:w="100"/>
              <w:bottom w:type="dxa" w:w="80"/>
              <w:right w:type="dxa" w:w="100"/>
            </w:tcMar>
          </w:tcPr>
          <w:p>
            <w:r>
              <w:rPr>
                <w:rFonts w:ascii="Marianne" w:cs="Marianne" w:eastAsia="Marianne" w:hAnsi="Marianne"/>
                <w:b/>
                <w:bCs/>
                <w:color w:val="FFFFFF"/>
                <w:sz w:val="18"/>
                <w:szCs w:val="18"/>
              </w:rPr>
              <w:t xml:space="preserve">Moyens</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T0 – T+6</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Communication (acquis) + ExcelExit + 2-3 projets RH/formation</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1 agent + licences existantes</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T+6 – T+12</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 Finances/pilotage + coordination interministérielle</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2 agents + backlog partagé</w:t>
            </w:r>
          </w:p>
        </w:tc>
      </w:tr>
      <w:tr>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T+12 – T+18</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 Immobilier + DSI + périmètre complet SG</w:t>
            </w:r>
          </w:p>
        </w:tc>
        <w:tc>
          <w:tcPr>
            <w:tcW w:type="dxa" w:w="3008"/>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Marianne" w:cs="Marianne" w:eastAsia="Marianne" w:hAnsi="Marianne"/>
                <w:color w:val="3A3A3A"/>
                <w:sz w:val="18"/>
                <w:szCs w:val="18"/>
              </w:rPr>
              <w:t xml:space="preserve">3 agents + gouvernance complète</w:t>
            </w:r>
          </w:p>
        </w:tc>
      </w:tr>
    </w:tbl>
    <w:p>
      <w:pPr>
        <w:pStyle w:val="Heading2"/>
        <w:spacing w:before="360" w:after="160"/>
      </w:pPr>
      <w:r>
        <w:rPr>
          <w:rFonts w:ascii="Marianne" w:cs="Marianne" w:eastAsia="Marianne" w:hAnsi="Marianne"/>
          <w:b/>
          <w:bCs/>
          <w:color w:val="000091"/>
          <w:sz w:val="26"/>
          <w:szCs w:val="26"/>
        </w:rPr>
        <w:t xml:space="preserve">17. Indicateurs de succès</w:t>
      </w:r>
    </w:p>
    <w:p>
      <w:pPr>
        <w:spacing w:after="160" w:line="276"/>
        <w:jc w:val="both"/>
      </w:pPr>
      <w:r>
        <w:rPr>
          <w:rFonts w:ascii="Marianne" w:cs="Marianne" w:eastAsia="Marianne" w:hAnsi="Marianne"/>
          <w:b/>
          <w:bCs/>
          <w:i w:val="false"/>
          <w:iCs w:val="false"/>
          <w:color w:val="3A3A3A"/>
          <w:sz w:val="21"/>
          <w:szCs w:val="21"/>
        </w:rPr>
        <w:t xml:space="preserve">Production : </w:t>
      </w:r>
      <w:r>
        <w:rPr>
          <w:rFonts w:ascii="Marianne" w:cs="Marianne" w:eastAsia="Marianne" w:hAnsi="Marianne"/>
          <w:b w:val="false"/>
          <w:bCs w:val="false"/>
          <w:i w:val="false"/>
          <w:iCs w:val="false"/>
          <w:color w:val="3A3A3A"/>
          <w:sz w:val="21"/>
          <w:szCs w:val="21"/>
        </w:rPr>
        <w:t xml:space="preserve">nombre de prototypes livrés par trimestre, taux de passage en production des POC.</w:t>
      </w:r>
    </w:p>
    <w:p>
      <w:pPr>
        <w:spacing w:after="160" w:line="276"/>
        <w:jc w:val="both"/>
      </w:pPr>
      <w:r>
        <w:rPr>
          <w:rFonts w:ascii="Marianne" w:cs="Marianne" w:eastAsia="Marianne" w:hAnsi="Marianne"/>
          <w:b/>
          <w:bCs/>
          <w:i w:val="false"/>
          <w:iCs w:val="false"/>
          <w:color w:val="3A3A3A"/>
          <w:sz w:val="21"/>
          <w:szCs w:val="21"/>
        </w:rPr>
        <w:t xml:space="preserve">Efficience : </w:t>
      </w:r>
      <w:r>
        <w:rPr>
          <w:rFonts w:ascii="Marianne" w:cs="Marianne" w:eastAsia="Marianne" w:hAnsi="Marianne"/>
          <w:b w:val="false"/>
          <w:bCs w:val="false"/>
          <w:i w:val="false"/>
          <w:iCs w:val="false"/>
          <w:color w:val="3A3A3A"/>
          <w:sz w:val="21"/>
          <w:szCs w:val="21"/>
        </w:rPr>
        <w:t xml:space="preserve">délai moyen idée → prototype fonctionnel, économies réalisées vs. prestation équivalente.</w:t>
      </w:r>
    </w:p>
    <w:p>
      <w:pPr>
        <w:spacing w:after="160" w:line="276"/>
        <w:jc w:val="both"/>
      </w:pPr>
      <w:r>
        <w:rPr>
          <w:rFonts w:ascii="Marianne" w:cs="Marianne" w:eastAsia="Marianne" w:hAnsi="Marianne"/>
          <w:b/>
          <w:bCs/>
          <w:i w:val="false"/>
          <w:iCs w:val="false"/>
          <w:color w:val="3A3A3A"/>
          <w:sz w:val="21"/>
          <w:szCs w:val="21"/>
        </w:rPr>
        <w:t xml:space="preserve">Adoption : </w:t>
      </w:r>
      <w:r>
        <w:rPr>
          <w:rFonts w:ascii="Marianne" w:cs="Marianne" w:eastAsia="Marianne" w:hAnsi="Marianne"/>
          <w:b w:val="false"/>
          <w:bCs w:val="false"/>
          <w:i w:val="false"/>
          <w:iCs w:val="false"/>
          <w:color w:val="3A3A3A"/>
          <w:sz w:val="21"/>
          <w:szCs w:val="21"/>
        </w:rPr>
        <w:t xml:space="preserve">satisfaction des équipes métier, nombre de demandes entrantes, taux d’utilisation réelle.</w:t>
      </w:r>
    </w:p>
    <w:p>
      <w:pPr>
        <w:spacing w:after="160" w:line="276"/>
        <w:jc w:val="both"/>
      </w:pPr>
      <w:r>
        <w:rPr>
          <w:rFonts w:ascii="Marianne" w:cs="Marianne" w:eastAsia="Marianne" w:hAnsi="Marianne"/>
          <w:b/>
          <w:bCs/>
          <w:i w:val="false"/>
          <w:iCs w:val="false"/>
          <w:color w:val="3A3A3A"/>
          <w:sz w:val="21"/>
          <w:szCs w:val="21"/>
        </w:rPr>
        <w:t xml:space="preserve">Qualité : </w:t>
      </w:r>
      <w:r>
        <w:rPr>
          <w:rFonts w:ascii="Marianne" w:cs="Marianne" w:eastAsia="Marianne" w:hAnsi="Marianne"/>
          <w:b w:val="false"/>
          <w:bCs w:val="false"/>
          <w:i w:val="false"/>
          <w:iCs w:val="false"/>
          <w:color w:val="3A3A3A"/>
          <w:sz w:val="21"/>
          <w:szCs w:val="21"/>
        </w:rPr>
        <w:t xml:space="preserve">couverture de tests, conformité DSFR/RGAA, résultats Écosystème sur les propres outils du Lab.</w:t>
      </w:r>
    </w:p>
    <w:p>
      <w:pPr>
        <w:pStyle w:val="Heading2"/>
        <w:spacing w:before="360" w:after="160"/>
      </w:pPr>
      <w:r>
        <w:rPr>
          <w:rFonts w:ascii="Marianne" w:cs="Marianne" w:eastAsia="Marianne" w:hAnsi="Marianne"/>
          <w:b/>
          <w:bCs/>
          <w:color w:val="000091"/>
          <w:sz w:val="26"/>
          <w:szCs w:val="26"/>
        </w:rPr>
        <w:t xml:space="preserve">18. Conclusion</w:t>
      </w:r>
    </w:p>
    <w:p>
      <w:pPr>
        <w:spacing w:after="160" w:line="276"/>
        <w:jc w:val="both"/>
      </w:pPr>
      <w:r>
        <w:rPr>
          <w:rFonts w:ascii="Marianne" w:cs="Marianne" w:eastAsia="Marianne" w:hAnsi="Marianne"/>
          <w:b w:val="false"/>
          <w:bCs w:val="false"/>
          <w:i w:val="false"/>
          <w:iCs w:val="false"/>
          <w:color w:val="3A3A3A"/>
          <w:sz w:val="21"/>
          <w:szCs w:val="21"/>
        </w:rPr>
        <w:t xml:space="preserve">Les résultats de cette expérimentation sont sans ambiguïté : 8 produits numériques fonctionnels, ~376 000 lignes de code de qualité professionnelle, produits par un seul agent en 6 mois. L’économie estimée est de l’ordre de 583 000 €, sans compter les coûts indirects de pilotage et contractualisation.</w:t>
      </w:r>
    </w:p>
    <w:p>
      <w:pPr>
        <w:spacing w:after="160" w:line="276"/>
        <w:jc w:val="both"/>
      </w:pPr>
      <w:r>
        <w:rPr>
          <w:rFonts w:ascii="Marianne" w:cs="Marianne" w:eastAsia="Marianne" w:hAnsi="Marianne"/>
          <w:b w:val="false"/>
          <w:bCs w:val="false"/>
          <w:i w:val="false"/>
          <w:iCs w:val="false"/>
          <w:color w:val="3A3A3A"/>
          <w:sz w:val="21"/>
          <w:szCs w:val="21"/>
        </w:rPr>
        <w:t xml:space="preserve">La demande est modeste : 1 à 3 agents dédiés et environ 1 000 € de licences par mois. Le retour sur investissement est immédiat. Le cadre est formalisé : gouvernance légère, grille d’évaluation objective, matrice des risques maîtrisée, articulation BercyHub documentée, plan de communication structuré. Et le prochain projet — ExcelExit, 47/50 — est prêt.</w:t>
      </w:r>
    </w:p>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300"/>
              <w:left w:type="dxa" w:w="400"/>
              <w:bottom w:type="dxa" w:w="300"/>
              <w:right w:type="dxa" w:w="400"/>
            </w:tcMar>
          </w:tcPr>
          <w:p>
            <w:pPr>
              <w:spacing w:after="80"/>
              <w:jc w:val="center"/>
            </w:pPr>
            <w:r>
              <w:rPr>
                <w:rFonts w:ascii="Marianne" w:cs="Marianne" w:eastAsia="Marianne" w:hAnsi="Marianne"/>
                <w:b/>
                <w:bCs/>
                <w:color w:val="FFFFFF"/>
                <w:sz w:val="24"/>
                <w:szCs w:val="24"/>
              </w:rPr>
              <w:t xml:space="preserve">Structurer le Vibe Lab, c’est transformer une initiative personnelle en capacité institutionnelle.</w:t>
            </w:r>
          </w:p>
          <w:p>
            <w:pPr>
              <w:jc w:val="center"/>
            </w:pPr>
            <w:r>
              <w:rPr>
                <w:rFonts w:ascii="Marianne" w:cs="Marianne" w:eastAsia="Marianne" w:hAnsi="Marianne"/>
                <w:color w:val="E3E3FD"/>
                <w:sz w:val="21"/>
                <w:szCs w:val="21"/>
              </w:rPr>
              <w:t xml:space="preserve">C’est un investissement modeste pour un effet de levier considérable sur la production, le positionnement et la visibilité du ministère.</w:t>
            </w:r>
          </w:p>
        </w:tc>
      </w:tr>
    </w:tbl>
    <w:p>
      <w:r>
        <w:br w:type="page"/>
      </w:r>
    </w:p>
    <w:p>
      <w:pPr>
        <w:pStyle w:val="Heading1"/>
        <w:spacing w:before="500" w:after="200"/>
      </w:pPr>
      <w:r>
        <w:rPr>
          <w:rFonts w:ascii="Marianne" w:cs="Marianne" w:eastAsia="Marianne" w:hAnsi="Marianne"/>
          <w:b/>
          <w:bCs/>
          <w:color w:val="000091"/>
          <w:sz w:val="32"/>
          <w:szCs w:val="32"/>
        </w:rPr>
        <w:t xml:space="preserve">Annexes</w:t>
      </w:r>
    </w:p>
    <w:p>
      <w:pPr>
        <w:pStyle w:val="Heading2"/>
        <w:spacing w:before="360" w:after="160"/>
      </w:pPr>
      <w:r>
        <w:rPr>
          <w:rFonts w:ascii="Marianne" w:cs="Marianne" w:eastAsia="Marianne" w:hAnsi="Marianne"/>
          <w:b/>
          <w:bCs/>
          <w:color w:val="000091"/>
          <w:sz w:val="26"/>
          <w:szCs w:val="26"/>
        </w:rPr>
        <w:t xml:space="preserve">Dépôts GitHub</w:t>
      </w:r>
    </w:p>
    <w:p>
      <w:pPr>
        <w:spacing w:after="160" w:line="276"/>
        <w:jc w:val="both"/>
      </w:pPr>
      <w:r>
        <w:rPr>
          <w:rFonts w:ascii="Marianne" w:cs="Marianne" w:eastAsia="Marianne" w:hAnsi="Marianne"/>
          <w:b w:val="false"/>
          <w:bCs w:val="false"/>
          <w:i w:val="false"/>
          <w:iCs w:val="false"/>
          <w:color w:val="3A3A3A"/>
          <w:sz w:val="21"/>
          <w:szCs w:val="21"/>
        </w:rPr>
        <w:t xml:space="preserve">Écosystème (G3) : github.com/bmatge/g3</w:t>
      </w:r>
    </w:p>
    <w:p>
      <w:pPr>
        <w:spacing w:after="160" w:line="276"/>
        <w:jc w:val="both"/>
      </w:pPr>
      <w:r>
        <w:rPr>
          <w:rFonts w:ascii="Marianne" w:cs="Marianne" w:eastAsia="Marianne" w:hAnsi="Marianne"/>
          <w:b w:val="false"/>
          <w:bCs w:val="false"/>
          <w:i w:val="false"/>
          <w:iCs w:val="false"/>
          <w:color w:val="3A3A3A"/>
          <w:sz w:val="21"/>
          <w:szCs w:val="21"/>
        </w:rPr>
        <w:t xml:space="preserve">Portail Eco Browser : github.com/bmatge/portail-eco-browser</w:t>
      </w:r>
    </w:p>
    <w:p>
      <w:pPr>
        <w:spacing w:after="160" w:line="276"/>
        <w:jc w:val="both"/>
      </w:pPr>
      <w:r>
        <w:rPr>
          <w:rFonts w:ascii="Marianne" w:cs="Marianne" w:eastAsia="Marianne" w:hAnsi="Marianne"/>
          <w:b w:val="false"/>
          <w:bCs w:val="false"/>
          <w:i w:val="false"/>
          <w:iCs w:val="false"/>
          <w:color w:val="3A3A3A"/>
          <w:sz w:val="21"/>
          <w:szCs w:val="21"/>
        </w:rPr>
        <w:t xml:space="preserve">ChartsBuilder : github.com/bmatge/datasource-charts-webcomponents</w:t>
      </w:r>
    </w:p>
    <w:p>
      <w:pPr>
        <w:spacing w:after="160" w:line="276"/>
        <w:jc w:val="both"/>
      </w:pPr>
      <w:r>
        <w:rPr>
          <w:rFonts w:ascii="Marianne" w:cs="Marianne" w:eastAsia="Marianne" w:hAnsi="Marianne"/>
          <w:b w:val="false"/>
          <w:bCs w:val="false"/>
          <w:i w:val="false"/>
          <w:iCs w:val="false"/>
          <w:color w:val="3A3A3A"/>
          <w:sz w:val="21"/>
          <w:szCs w:val="21"/>
        </w:rPr>
        <w:t xml:space="preserve">LimeSurvey DSFR : github.com/bmatge/LimeSurvey-DSFR</w:t>
      </w:r>
    </w:p>
    <w:p>
      <w:pPr>
        <w:spacing w:after="160" w:line="276"/>
        <w:jc w:val="both"/>
      </w:pPr>
      <w:r>
        <w:rPr>
          <w:rFonts w:ascii="Marianne" w:cs="Marianne" w:eastAsia="Marianne" w:hAnsi="Marianne"/>
          <w:b w:val="false"/>
          <w:bCs w:val="false"/>
          <w:i w:val="false"/>
          <w:iCs w:val="false"/>
          <w:color w:val="3A3A3A"/>
          <w:sz w:val="21"/>
          <w:szCs w:val="21"/>
        </w:rPr>
        <w:t xml:space="preserve">Organigrammes : github.com/bmatge/org-chart-service-public</w:t>
      </w:r>
    </w:p>
    <w:p>
      <w:pPr>
        <w:spacing w:after="160" w:line="276"/>
        <w:jc w:val="both"/>
      </w:pPr>
      <w:r>
        <w:rPr>
          <w:rFonts w:ascii="Marianne" w:cs="Marianne" w:eastAsia="Marianne" w:hAnsi="Marianne"/>
          <w:b w:val="false"/>
          <w:bCs w:val="false"/>
          <w:i w:val="false"/>
          <w:iCs w:val="false"/>
          <w:color w:val="3A3A3A"/>
          <w:sz w:val="21"/>
          <w:szCs w:val="21"/>
        </w:rPr>
        <w:t xml:space="preserve">Prix Contrôle Technique : github.com/bmatge/prix-controle-technique</w:t>
      </w:r>
    </w:p>
    <w:p>
      <w:pPr>
        <w:spacing w:after="160" w:line="276"/>
        <w:jc w:val="both"/>
      </w:pPr>
      <w:r>
        <w:rPr>
          <w:rFonts w:ascii="Marianne" w:cs="Marianne" w:eastAsia="Marianne" w:hAnsi="Marianne"/>
          <w:b w:val="false"/>
          <w:bCs w:val="false"/>
          <w:i w:val="false"/>
          <w:iCs w:val="false"/>
          <w:color w:val="3A3A3A"/>
          <w:sz w:val="21"/>
          <w:szCs w:val="21"/>
        </w:rPr>
        <w:t xml:space="preserve">Tarifs Bancaires : github.com/bmatge/tarifs-bancaires</w:t>
      </w:r>
    </w:p>
    <w:p>
      <w:pPr>
        <w:spacing w:after="160" w:line="276"/>
        <w:jc w:val="both"/>
      </w:pPr>
      <w:r>
        <w:rPr>
          <w:rFonts w:ascii="Marianne" w:cs="Marianne" w:eastAsia="Marianne" w:hAnsi="Marianne"/>
          <w:b w:val="false"/>
          <w:bCs w:val="false"/>
          <w:i w:val="false"/>
          <w:iCs w:val="false"/>
          <w:color w:val="3A3A3A"/>
          <w:sz w:val="21"/>
          <w:szCs w:val="21"/>
        </w:rPr>
        <w:t xml:space="preserve">LeFouineur : github.com/bmatge/eco-alert-bo</w:t>
      </w:r>
    </w:p>
    <w:p>
      <w:pPr>
        <w:pStyle w:val="Heading2"/>
        <w:spacing w:before="360" w:after="160"/>
      </w:pPr>
      <w:r>
        <w:rPr>
          <w:rFonts w:ascii="Marianne" w:cs="Marianne" w:eastAsia="Marianne" w:hAnsi="Marianne"/>
          <w:b/>
          <w:bCs/>
          <w:color w:val="000091"/>
          <w:sz w:val="26"/>
          <w:szCs w:val="26"/>
        </w:rPr>
        <w:t xml:space="preserve">Documents de référence</w:t>
      </w:r>
    </w:p>
    <w:p>
      <w:pPr>
        <w:pStyle w:val="ListParagraph"/>
        <w:numPr>
          <w:ilvl w:val="0"/>
          <w:numId w:val="2"/>
        </w:numPr>
        <w:spacing w:after="80"/>
      </w:pPr>
      <w:r>
        <w:rPr>
          <w:rFonts w:ascii="Marianne" w:cs="Marianne" w:eastAsia="Marianne" w:hAnsi="Marianne"/>
          <w:color w:val="3A3A3A"/>
          <w:sz w:val="21"/>
          <w:szCs w:val="21"/>
        </w:rPr>
        <w:t xml:space="preserve">Manifeste Vibe Lab — Valeurs et positionnement</w:t>
      </w:r>
    </w:p>
    <w:p>
      <w:pPr>
        <w:pStyle w:val="ListParagraph"/>
        <w:numPr>
          <w:ilvl w:val="0"/>
          <w:numId w:val="2"/>
        </w:numPr>
        <w:spacing w:after="80"/>
      </w:pPr>
      <w:r>
        <w:rPr>
          <w:rFonts w:ascii="Marianne" w:cs="Marianne" w:eastAsia="Marianne" w:hAnsi="Marianne"/>
          <w:color w:val="3A3A3A"/>
          <w:sz w:val="21"/>
          <w:szCs w:val="21"/>
        </w:rPr>
        <w:t xml:space="preserve">Fiche de gouvernance — Cycle de vie, instances, règles cardinales</w:t>
      </w:r>
    </w:p>
    <w:p>
      <w:pPr>
        <w:pStyle w:val="ListParagraph"/>
        <w:numPr>
          <w:ilvl w:val="0"/>
          <w:numId w:val="2"/>
        </w:numPr>
        <w:spacing w:after="80"/>
      </w:pPr>
      <w:r>
        <w:rPr>
          <w:rFonts w:ascii="Marianne" w:cs="Marianne" w:eastAsia="Marianne" w:hAnsi="Marianne"/>
          <w:color w:val="3A3A3A"/>
          <w:sz w:val="21"/>
          <w:szCs w:val="21"/>
        </w:rPr>
        <w:t xml:space="preserve">Grille d’évaluation — Critères d’entrée et scoring</w:t>
      </w:r>
    </w:p>
    <w:p>
      <w:pPr>
        <w:pStyle w:val="ListParagraph"/>
        <w:numPr>
          <w:ilvl w:val="0"/>
          <w:numId w:val="2"/>
        </w:numPr>
        <w:spacing w:after="80"/>
      </w:pPr>
      <w:r>
        <w:rPr>
          <w:rFonts w:ascii="Marianne" w:cs="Marianne" w:eastAsia="Marianne" w:hAnsi="Marianne"/>
          <w:color w:val="3A3A3A"/>
          <w:sz w:val="21"/>
          <w:szCs w:val="21"/>
        </w:rPr>
        <w:t xml:space="preserve">Matrice des risques — 8 risques identifiés et mesures d’atténuation</w:t>
      </w:r>
    </w:p>
    <w:p>
      <w:pPr>
        <w:pStyle w:val="ListParagraph"/>
        <w:numPr>
          <w:ilvl w:val="0"/>
          <w:numId w:val="2"/>
        </w:numPr>
        <w:spacing w:after="80"/>
      </w:pPr>
      <w:r>
        <w:rPr>
          <w:rFonts w:ascii="Marianne" w:cs="Marianne" w:eastAsia="Marianne" w:hAnsi="Marianne"/>
          <w:color w:val="3A3A3A"/>
          <w:sz w:val="21"/>
          <w:szCs w:val="21"/>
        </w:rPr>
        <w:t xml:space="preserve">Note de cadrage ExcelExit — Premier projet du backlog élargi</w:t>
      </w:r>
    </w:p>
    <w:p>
      <w:pPr>
        <w:pStyle w:val="ListParagraph"/>
        <w:numPr>
          <w:ilvl w:val="0"/>
          <w:numId w:val="2"/>
        </w:numPr>
        <w:spacing w:after="80"/>
      </w:pPr>
      <w:r>
        <w:rPr>
          <w:rFonts w:ascii="Marianne" w:cs="Marianne" w:eastAsia="Marianne" w:hAnsi="Marianne"/>
          <w:color w:val="3A3A3A"/>
          <w:sz w:val="21"/>
          <w:szCs w:val="21"/>
        </w:rPr>
        <w:t xml:space="preserve">Plan de communication — 12 semaines pour générer la demande</w:t>
      </w:r>
    </w:p>
    <w:p>
      <w:pPr>
        <w:pStyle w:val="ListParagraph"/>
        <w:numPr>
          <w:ilvl w:val="0"/>
          <w:numId w:val="2"/>
        </w:numPr>
        <w:spacing w:after="80"/>
      </w:pPr>
      <w:r>
        <w:rPr>
          <w:rFonts w:ascii="Marianne" w:cs="Marianne" w:eastAsia="Marianne" w:hAnsi="Marianne"/>
          <w:color w:val="3A3A3A"/>
          <w:sz w:val="21"/>
          <w:szCs w:val="21"/>
        </w:rPr>
        <w:t xml:space="preserve">Note SNUM — Rapport détaillé pour le chef du service du numérique</w:t>
      </w:r>
    </w:p>
    <w:p>
      <w:pPr>
        <w:pStyle w:val="ListParagraph"/>
        <w:numPr>
          <w:ilvl w:val="0"/>
          <w:numId w:val="2"/>
        </w:numPr>
        <w:spacing w:after="80"/>
      </w:pPr>
      <w:r>
        <w:rPr>
          <w:rFonts w:ascii="Marianne" w:cs="Marianne" w:eastAsia="Marianne" w:hAnsi="Marianne"/>
          <w:color w:val="3A3A3A"/>
          <w:sz w:val="21"/>
          <w:szCs w:val="21"/>
        </w:rPr>
        <w:t xml:space="preserve">Note MIWEB — Opportunité pour la mission ingénierie du web</w:t>
      </w:r>
    </w:p>
    <w:p>
      <w:pPr>
        <w:pStyle w:val="ListParagraph"/>
        <w:numPr>
          <w:ilvl w:val="0"/>
          <w:numId w:val="2"/>
        </w:numPr>
        <w:spacing w:after="80"/>
      </w:pPr>
      <w:r>
        <w:rPr>
          <w:rFonts w:ascii="Marianne" w:cs="Marianne" w:eastAsia="Marianne" w:hAnsi="Marianne"/>
          <w:color w:val="3A3A3A"/>
          <w:sz w:val="21"/>
          <w:szCs w:val="21"/>
        </w:rPr>
        <w:t xml:space="preserve">Note DIRCOM — Rapport pour la direction de la communication</w:t>
      </w:r>
    </w:p>
    <w:p>
      <w:pPr>
        <w:pStyle w:val="ListParagraph"/>
        <w:numPr>
          <w:ilvl w:val="0"/>
          <w:numId w:val="2"/>
        </w:numPr>
        <w:spacing w:after="80"/>
      </w:pPr>
      <w:r>
        <w:rPr>
          <w:rFonts w:ascii="Marianne" w:cs="Marianne" w:eastAsia="Marianne" w:hAnsi="Marianne"/>
          <w:color w:val="3A3A3A"/>
          <w:sz w:val="21"/>
          <w:szCs w:val="21"/>
        </w:rPr>
        <w:t xml:space="preserve">Note SG — Élargissement aux fonctions support du secrétariat général</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Marianne" w:cs="Marianne" w:eastAsia="Marianne" w:hAnsi="Marianne"/>
        <w:color w:val="666666"/>
        <w:sz w:val="16"/>
        <w:szCs w:val="16"/>
      </w:rPr>
      <w:t xml:space="preserve">Page </w:t>
    </w:r>
    <w:r>
      <w:rPr>
        <w:rFonts w:ascii="Marianne" w:cs="Marianne" w:eastAsia="Marianne" w:hAnsi="Marianne"/>
        <w:color w:val="666666"/>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Marianne" w:cs="Marianne" w:eastAsia="Marianne" w:hAnsi="Marianne"/>
        <w:i/>
        <w:iCs/>
        <w:color w:val="666666"/>
        <w:sz w:val="16"/>
        <w:szCs w:val="16"/>
      </w:rPr>
      <w:t xml:space="preserve">Vibe Lab — Dossier complet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50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60" w:after="16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2026-02-22T13:07:44.670Z</dcterms:created>
  <dcterms:modified xsi:type="dcterms:W3CDTF">2026-02-22T13:07:44.670Z</dcterms:modified>
</cp:coreProperties>
</file>

<file path=docProps/custom.xml><?xml version="1.0" encoding="utf-8"?>
<Properties xmlns="http://schemas.openxmlformats.org/officeDocument/2006/custom-properties" xmlns:vt="http://schemas.openxmlformats.org/officeDocument/2006/docPropsVTypes"/>
</file>