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Matrice de risques</w:t>
      </w:r>
    </w:p>
    <w:p>
      <w:pPr>
        <w:pStyle w:val="Heading1"/>
      </w:pPr>
      <w:r>
        <w:t>Matrice des risques — Vibe Lab</w:t>
      </w:r>
    </w:p>
    <w:p>
      <w:r>
        <w:rPr>
          <w:b/>
        </w:rPr>
        <w:t>Vibe Lab — MIWEB / SNUM</w:t>
      </w:r>
    </w:p>
    <w:p>
      <w:r>
        <w:t>Ministère de l'Économie et des Finances — Février 2026</w:t>
      </w:r>
    </w:p>
    <w:p>
      <w:pPr>
        <w:ind w:left="567"/>
      </w:pPr>
      <w:r>
        <w:t xml:space="preserve">Tout dispositif comporte des risques. Les identifier honnêtement et prévoir leur atténuation est la meilleure garantie de crédibilité. Voici les </w:t>
      </w:r>
      <w:r>
        <w:rPr>
          <w:b/>
        </w:rPr>
        <w:t>8 risques principaux</w:t>
      </w:r>
      <w:r>
        <w:t xml:space="preserve"> du Vibe Lab et les réponses apportées.</w:t>
      </w:r>
    </w:p>
    <w:p>
      <w:pPr>
        <w:pStyle w:val="Heading2"/>
      </w:pPr>
      <w:r>
        <w:t>1. Vue d'ensemble</w:t>
      </w:r>
    </w:p>
    <w:p>
      <w:r>
        <w:t xml:space="preserve">La matrice ci-dessous évalue chaque risque selon sa </w:t>
      </w:r>
      <w:r>
        <w:rPr>
          <w:b/>
        </w:rPr>
        <w:t>probabilité d'occurrence</w:t>
      </w:r>
      <w:r>
        <w:t xml:space="preserve"> (faible / modérée / élevée) et son </w:t>
      </w:r>
      <w:r>
        <w:rPr>
          <w:b/>
        </w:rPr>
        <w:t>impact potentiel</w:t>
      </w:r>
      <w:r>
        <w:t xml:space="preserve"> (faible / modéré / critique). Le </w:t>
      </w:r>
      <w:r>
        <w:rPr>
          <w:b/>
        </w:rPr>
        <w:t>niveau de risque résiduel</w:t>
      </w:r>
      <w:r>
        <w:t xml:space="preserve"> tient compte des mesures d'atténuation déjà en place ou prévues.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t>Risque</w:t>
            </w:r>
          </w:p>
        </w:tc>
        <w:tc>
          <w:tcPr>
            <w:tcW w:type="dxa" w:w="1728"/>
          </w:tcPr>
          <w:p>
            <w:r/>
            <w:r>
              <w:t>Proba.</w:t>
            </w:r>
          </w:p>
        </w:tc>
        <w:tc>
          <w:tcPr>
            <w:tcW w:type="dxa" w:w="1728"/>
          </w:tcPr>
          <w:p>
            <w:r/>
            <w:r>
              <w:t>Impact</w:t>
            </w:r>
          </w:p>
        </w:tc>
        <w:tc>
          <w:tcPr>
            <w:tcW w:type="dxa" w:w="1728"/>
          </w:tcPr>
          <w:p>
            <w:r/>
            <w:r>
              <w:t>Mesure d'atténuation</w:t>
            </w:r>
          </w:p>
        </w:tc>
        <w:tc>
          <w:tcPr>
            <w:tcW w:type="dxa" w:w="1728"/>
          </w:tcPr>
          <w:p>
            <w:r/>
            <w:r>
              <w:t>Résiduel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Dépendance aux IA commerciales</w:t>
            </w:r>
          </w:p>
        </w:tc>
        <w:tc>
          <w:tcPr>
            <w:tcW w:type="dxa" w:w="1728"/>
          </w:tcPr>
          <w:p>
            <w:r/>
            <w:r>
              <w:t>Modérée</w:t>
            </w:r>
          </w:p>
        </w:tc>
        <w:tc>
          <w:tcPr>
            <w:tcW w:type="dxa" w:w="1728"/>
          </w:tcPr>
          <w:p>
            <w:r/>
            <w:r>
              <w:t>Modéré</w:t>
            </w:r>
          </w:p>
        </w:tc>
        <w:tc>
          <w:tcPr>
            <w:tcW w:type="dxa" w:w="1728"/>
          </w:tcPr>
          <w:p>
            <w:r/>
            <w:r>
              <w:t>Code open source indépendant du modèle. Albert (souverain) intégré en backup. Aucun vendor lock-in : les prompts sont portables.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Confusion de périmètre avec BercyHub</w:t>
            </w:r>
          </w:p>
        </w:tc>
        <w:tc>
          <w:tcPr>
            <w:tcW w:type="dxa" w:w="1728"/>
          </w:tcPr>
          <w:p>
            <w:r/>
            <w:r>
              <w:t>Élevée</w:t>
            </w:r>
          </w:p>
        </w:tc>
        <w:tc>
          <w:tcPr>
            <w:tcW w:type="dxa" w:w="1728"/>
          </w:tcPr>
          <w:p>
            <w:r/>
            <w:r>
              <w:t>Critique</w:t>
            </w:r>
          </w:p>
        </w:tc>
        <w:tc>
          <w:tcPr>
            <w:tcW w:type="dxa" w:w="1728"/>
          </w:tcPr>
          <w:p>
            <w:r/>
            <w:r>
              <w:t>Règle de démarcation absolue documentée. Point trimestriel BercyHub. Chaque projet tagé « données publiques » ou « agrégé » dans le backlog.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Non-adoption par les métiers</w:t>
            </w:r>
          </w:p>
        </w:tc>
        <w:tc>
          <w:tcPr>
            <w:tcW w:type="dxa" w:w="1728"/>
          </w:tcPr>
          <w:p>
            <w:r/>
            <w:r>
              <w:t>Modérée</w:t>
            </w:r>
          </w:p>
        </w:tc>
        <w:tc>
          <w:tcPr>
            <w:tcW w:type="dxa" w:w="1728"/>
          </w:tcPr>
          <w:p>
            <w:r/>
            <w:r>
              <w:t>Critique</w:t>
            </w:r>
          </w:p>
        </w:tc>
        <w:tc>
          <w:tcPr>
            <w:tcW w:type="dxa" w:w="1728"/>
          </w:tcPr>
          <w:p>
            <w:r/>
            <w:r>
              <w:t>Co-construction obligatoire (pas de projet sans sponsor). Tests utilisateurs dès la semaine 1. Abandon à 4 semaines sans usage.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Modéré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Perte de compétence (départ de l'agent)</w:t>
            </w:r>
          </w:p>
        </w:tc>
        <w:tc>
          <w:tcPr>
            <w:tcW w:type="dxa" w:w="1728"/>
          </w:tcPr>
          <w:p>
            <w:r/>
            <w:r>
              <w:t>Modérée</w:t>
            </w:r>
          </w:p>
        </w:tc>
        <w:tc>
          <w:tcPr>
            <w:tcW w:type="dxa" w:w="1728"/>
          </w:tcPr>
          <w:p>
            <w:r/>
            <w:r>
              <w:t>Modéré</w:t>
            </w:r>
          </w:p>
        </w:tc>
        <w:tc>
          <w:tcPr>
            <w:tcW w:type="dxa" w:w="1728"/>
          </w:tcPr>
          <w:p>
            <w:r/>
            <w:r>
              <w:t>Code publié sur GitHub, documenté, testé. Architecture standard (React, Node, Docker). Reprise possible par tout développeur.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Dérive vers du développement classique</w:t>
            </w:r>
          </w:p>
        </w:tc>
        <w:tc>
          <w:tcPr>
            <w:tcW w:type="dxa" w:w="1728"/>
          </w:tcPr>
          <w:p>
            <w:r/>
            <w:r>
              <w:t>Modérée</w:t>
            </w:r>
          </w:p>
        </w:tc>
        <w:tc>
          <w:tcPr>
            <w:tcW w:type="dxa" w:w="1728"/>
          </w:tcPr>
          <w:p>
            <w:r/>
            <w:r>
              <w:t>Modéré</w:t>
            </w:r>
          </w:p>
        </w:tc>
        <w:tc>
          <w:tcPr>
            <w:tcW w:type="dxa" w:w="1728"/>
          </w:tcPr>
          <w:p>
            <w:r/>
            <w:r>
              <w:t>Cap à 5 projets actifs. Cycle maximum de 8 semaines. Comité mensuel qui arbitre entrées/sorties.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Qualité de code insuffisante</w:t>
            </w:r>
          </w:p>
        </w:tc>
        <w:tc>
          <w:tcPr>
            <w:tcW w:type="dxa" w:w="1728"/>
          </w:tcPr>
          <w:p>
            <w:r/>
            <w:r>
              <w:t>Faible</w:t>
            </w:r>
          </w:p>
        </w:tc>
        <w:tc>
          <w:tcPr>
            <w:tcW w:type="dxa" w:w="1728"/>
          </w:tcPr>
          <w:p>
            <w:r/>
            <w:r>
              <w:t>Modéré</w:t>
            </w:r>
          </w:p>
        </w:tc>
        <w:tc>
          <w:tcPr>
            <w:tcW w:type="dxa" w:w="1728"/>
          </w:tcPr>
          <w:p>
            <w:r/>
            <w:r>
              <w:t>CI/CD, tests automatisés, typage strict, conformité DSFR systématique. 1 800+ tests déjà en place sur les 8 projets existants.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Fuite de données via l'IA</w:t>
            </w:r>
          </w:p>
        </w:tc>
        <w:tc>
          <w:tcPr>
            <w:tcW w:type="dxa" w:w="1728"/>
          </w:tcPr>
          <w:p>
            <w:r/>
            <w:r>
              <w:t>Faible</w:t>
            </w:r>
          </w:p>
        </w:tc>
        <w:tc>
          <w:tcPr>
            <w:tcW w:type="dxa" w:w="1728"/>
          </w:tcPr>
          <w:p>
            <w:r/>
            <w:r>
              <w:t>Faible</w:t>
            </w:r>
          </w:p>
        </w:tc>
        <w:tc>
          <w:tcPr>
            <w:tcW w:type="dxa" w:w="1728"/>
          </w:tcPr>
          <w:p>
            <w:r/>
            <w:r>
              <w:t>Les prompts contiennent des spécifications techniques, pas de données. Le code produit est public. Aucune donnée sensible dans la chaîne.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Faible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Effet « gadget » / perte de crédibilité</w:t>
            </w:r>
          </w:p>
        </w:tc>
        <w:tc>
          <w:tcPr>
            <w:tcW w:type="dxa" w:w="1728"/>
          </w:tcPr>
          <w:p>
            <w:r/>
            <w:r>
              <w:t>Modérée</w:t>
            </w:r>
          </w:p>
        </w:tc>
        <w:tc>
          <w:tcPr>
            <w:tcW w:type="dxa" w:w="1728"/>
          </w:tcPr>
          <w:p>
            <w:r/>
            <w:r>
              <w:t>Critique</w:t>
            </w:r>
          </w:p>
        </w:tc>
        <w:tc>
          <w:tcPr>
            <w:tcW w:type="dxa" w:w="1728"/>
          </w:tcPr>
          <w:p>
            <w:r/>
            <w:r>
              <w:t>KPI mesurables (coûts évités, utilisateurs actifs). Bilan trimestriel chiffré. Transparence totale sur les abandons.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Modéré</w:t>
            </w:r>
          </w:p>
        </w:tc>
      </w:tr>
    </w:tbl>
    <w:p>
      <w:pPr>
        <w:pStyle w:val="Heading2"/>
      </w:pPr>
      <w:r>
        <w:t>2. Analyse</w:t>
      </w:r>
    </w:p>
    <w:p>
      <w:pPr>
        <w:pStyle w:val="Heading3"/>
      </w:pPr>
      <w:r>
        <w:t>2.1 Les deux risques à surveiller</w:t>
      </w:r>
    </w:p>
    <w:p>
      <w:r>
        <w:rPr>
          <w:b/>
        </w:rPr>
        <w:t>Non-adoption par les métiers</w:t>
      </w:r>
      <w:r>
        <w:t xml:space="preserve"> — C'est le risque numéro un de tout lab d'innovation. La mitigation repose sur un principe simple : </w:t>
      </w:r>
      <w:r>
        <w:rPr>
          <w:b/>
        </w:rPr>
        <w:t>pas de projet sans sponsor, pas de prototype sans test utilisateur</w:t>
      </w:r>
      <w:r>
        <w:t>. Si malgré cela l'outil n'est pas utilisé, on l'abandonne et on en tire les leçons. Le coût d'un échec est de quelques jours de travail — pas de quelques dizaines de milliers d'euros.</w:t>
      </w:r>
    </w:p>
    <w:p>
      <w:r>
        <w:rPr>
          <w:b/>
        </w:rPr>
        <w:t>Effet « gadget » / perte de crédibilité</w:t>
      </w:r>
      <w:r>
        <w:t xml:space="preserve"> — Le Lab doit prouver sa valeur par les chiffres, pas par les discours. Le </w:t>
      </w:r>
      <w:r>
        <w:rPr>
          <w:b/>
        </w:rPr>
        <w:t>tableau de bord de pilotage</w:t>
      </w:r>
      <w:r>
        <w:t xml:space="preserve"> (KPI), les </w:t>
      </w:r>
      <w:r>
        <w:rPr>
          <w:b/>
        </w:rPr>
        <w:t>bilans trimestriels transparents</w:t>
      </w:r>
      <w:r>
        <w:t xml:space="preserve"> et la capacité à dire « ce projet a échoué, voilà pourquoi » sont les meilleures protections. Un Lab qui ne cache pas ses échecs est plus crédible qu'un Lab qui prétend ne jamais se tromper.</w:t>
      </w:r>
    </w:p>
    <w:p>
      <w:pPr>
        <w:pStyle w:val="Heading3"/>
      </w:pPr>
      <w:r>
        <w:t>2.2 Les risques maîtrisés par construction</w:t>
      </w:r>
    </w:p>
    <w:p>
      <w:pPr>
        <w:ind w:left="567"/>
      </w:pPr>
      <w:r>
        <w:rPr>
          <w:b/>
        </w:rPr>
        <w:t>Sécurité et confidentialité : risque résiduel faible.</w:t>
      </w:r>
      <w:r>
        <w:t xml:space="preserve"> Le périmètre du Lab (données publiques, code open source, aucun SI sensible) élimine structurellement les risques de fuite. Ce n'est pas une posture — c'est une architecture. Même en cas d'incident sur un outil d'IA, les seules données exposées seraient des spécifications techniques déjà publiques.</w:t>
      </w:r>
    </w:p>
    <w:p>
      <w:pPr>
        <w:pStyle w:val="Heading3"/>
      </w:pPr>
      <w:r>
        <w:t>2.3 Synthèse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Catégorie</w:t>
            </w:r>
          </w:p>
        </w:tc>
        <w:tc>
          <w:tcPr>
            <w:tcW w:type="dxa" w:w="2880"/>
          </w:tcPr>
          <w:p>
            <w:r/>
            <w:r>
              <w:t>Nombre</w:t>
            </w:r>
          </w:p>
        </w:tc>
        <w:tc>
          <w:tcPr>
            <w:tcW w:type="dxa" w:w="2880"/>
          </w:tcPr>
          <w:p>
            <w:r/>
            <w:r>
              <w:t>Risque résiduel</w:t>
            </w:r>
          </w:p>
        </w:tc>
      </w:tr>
      <w:tr>
        <w:tc>
          <w:tcPr>
            <w:tcW w:type="dxa" w:w="2880"/>
          </w:tcPr>
          <w:p>
            <w:r/>
            <w:r>
              <w:t xml:space="preserve">Risques à résiduel </w:t>
            </w:r>
            <w:r>
              <w:rPr>
                <w:b/>
              </w:rPr>
              <w:t>faible</w:t>
            </w:r>
          </w:p>
        </w:tc>
        <w:tc>
          <w:tcPr>
            <w:tcW w:type="dxa" w:w="2880"/>
          </w:tcPr>
          <w:p>
            <w:r/>
            <w:r>
              <w:t>6 sur 8</w:t>
            </w:r>
          </w:p>
        </w:tc>
        <w:tc>
          <w:tcPr>
            <w:tcW w:type="dxa" w:w="2880"/>
          </w:tcPr>
          <w:p>
            <w:r/>
            <w:r>
              <w:t>Maîtrisés par l'architecture et les règles de gouvernance</w:t>
            </w:r>
          </w:p>
        </w:tc>
      </w:tr>
      <w:tr>
        <w:tc>
          <w:tcPr>
            <w:tcW w:type="dxa" w:w="2880"/>
          </w:tcPr>
          <w:p>
            <w:r/>
            <w:r>
              <w:t xml:space="preserve">Risques à résiduel </w:t>
            </w:r>
            <w:r>
              <w:rPr>
                <w:b/>
              </w:rPr>
              <w:t>modéré</w:t>
            </w:r>
          </w:p>
        </w:tc>
        <w:tc>
          <w:tcPr>
            <w:tcW w:type="dxa" w:w="2880"/>
          </w:tcPr>
          <w:p>
            <w:r/>
            <w:r>
              <w:t>2 sur 8</w:t>
            </w:r>
          </w:p>
        </w:tc>
        <w:tc>
          <w:tcPr>
            <w:tcW w:type="dxa" w:w="2880"/>
          </w:tcPr>
          <w:p>
            <w:r/>
            <w:r>
              <w:t>Atténués par la gouvernance, à surveiller via KPI</w:t>
            </w:r>
          </w:p>
        </w:tc>
      </w:tr>
      <w:tr>
        <w:tc>
          <w:tcPr>
            <w:tcW w:type="dxa" w:w="2880"/>
          </w:tcPr>
          <w:p>
            <w:r/>
            <w:r>
              <w:t xml:space="preserve">Risques à résiduel </w:t>
            </w:r>
            <w:r>
              <w:rPr>
                <w:b/>
              </w:rPr>
              <w:t>critique</w:t>
            </w:r>
          </w:p>
        </w:tc>
        <w:tc>
          <w:tcPr>
            <w:tcW w:type="dxa" w:w="2880"/>
          </w:tcPr>
          <w:p>
            <w:r/>
            <w:r>
              <w:t>0 sur 8</w:t>
            </w:r>
          </w:p>
        </w:tc>
        <w:tc>
          <w:tcPr>
            <w:tcW w:type="dxa" w:w="2880"/>
          </w:tcPr>
          <w:p>
            <w:r/>
            <w:r>
              <w:t>Aucun</w:t>
            </w:r>
          </w:p>
        </w:tc>
      </w:tr>
    </w:tbl>
    <w:p>
      <w:pPr>
        <w:pStyle w:val="Heading2"/>
      </w:pPr>
      <w:r>
        <w:t>3. Ancrage dans la gouvernance</w:t>
      </w:r>
    </w:p>
    <w:p>
      <w:r>
        <w:t>Les mesures d'atténuation de cette matrice ne sont pas théoriques : elles sont directement inscrites dans les documents opérationnels du Vibe Lab.</w:t>
      </w:r>
    </w:p>
    <w:p>
      <w:pPr>
        <w:pStyle w:val="ListBullet"/>
      </w:pPr>
      <w:r>
        <w:t xml:space="preserve">La </w:t>
      </w:r>
      <w:r>
        <w:rPr>
          <w:b/>
        </w:rPr>
        <w:t>règle de démarcation avec BercyHub</w:t>
      </w:r>
      <w:r>
        <w:t xml:space="preserve"> (risque R2) est formalisée dans la fiche de gouvernance et fait l'objet d'un point trimestriel structuré.</w:t>
      </w:r>
    </w:p>
    <w:p>
      <w:pPr>
        <w:pStyle w:val="ListBullet"/>
      </w:pPr>
      <w:r>
        <w:t xml:space="preserve">Le </w:t>
      </w:r>
      <w:r>
        <w:rPr>
          <w:b/>
        </w:rPr>
        <w:t>scoring objectif de la grille d'évaluation</w:t>
      </w:r>
      <w:r>
        <w:t xml:space="preserve"> (risque R5 — dépendance à un seul agent) permet à n'importe quel repreneur de comprendre les priorités.</w:t>
      </w:r>
    </w:p>
    <w:p>
      <w:pPr>
        <w:pStyle w:val="ListBullet"/>
      </w:pPr>
      <w:r>
        <w:t xml:space="preserve">Les </w:t>
      </w:r>
      <w:r>
        <w:rPr>
          <w:b/>
        </w:rPr>
        <w:t>cinq règles cardinales de gouvernance</w:t>
      </w:r>
      <w:r>
        <w:t xml:space="preserve"> — pas de projet sans sponsor, périmètre données publiques, maximum 5 projets actifs, abandon à 4 semaines, transparence totale — constituent le premier rempart contre la majorité des risques identifiés.</w:t>
      </w:r>
    </w:p>
    <w:p>
      <w:pPr>
        <w:pStyle w:val="ListBullet"/>
      </w:pPr>
      <w:r>
        <w:t xml:space="preserve">Le projet </w:t>
      </w:r>
      <w:r>
        <w:rPr>
          <w:b/>
        </w:rPr>
        <w:t>ExcelExit</w:t>
      </w:r>
      <w:r>
        <w:t>, premier du backlog élargi avec un score de 47/50, illustre l'application concrète de ces garde-fous : les fichiers de niveau 4 (données sensibles) sont explicitement exclus et signalés à BercyHub.</w:t>
      </w:r>
    </w:p>
    <w:p>
      <w:pPr>
        <w:pStyle w:val="Heading2"/>
      </w:pPr>
      <w:r>
        <w:t>4. Documents associés</w:t>
      </w:r>
    </w:p>
    <w:p>
      <w:r>
        <w:t>Cette matrice s'articule avec les documents suivants :</w:t>
      </w:r>
    </w:p>
    <w:p>
      <w:pPr>
        <w:pStyle w:val="ListNumber"/>
      </w:pPr>
      <w:r>
        <w:rPr>
          <w:b/>
        </w:rPr>
        <w:t>Fiche de gouvernance</w:t>
      </w:r>
      <w:r>
        <w:t xml:space="preserve"> — cycle de vie, instances, rôles, règles cardinales</w:t>
      </w:r>
    </w:p>
    <w:p>
      <w:pPr>
        <w:pStyle w:val="ListNumber"/>
      </w:pPr>
      <w:r>
        <w:rPr>
          <w:b/>
        </w:rPr>
        <w:t>Grille d'évaluation</w:t>
      </w:r>
      <w:r>
        <w:t xml:space="preserve"> — critères d'entrée et scoring de priorisation</w:t>
      </w:r>
    </w:p>
    <w:p>
      <w:pPr>
        <w:pStyle w:val="ListNumber"/>
      </w:pPr>
      <w:r>
        <w:rPr>
          <w:b/>
        </w:rPr>
        <w:t>Note de cadrage ExcelExit</w:t>
      </w:r>
      <w:r>
        <w:t xml:space="preserve"> — premier projet du backlog élargi</w:t>
      </w:r>
    </w:p>
    <w:p>
      <w:pPr>
        <w:pStyle w:val="ListNumber"/>
      </w:pPr>
      <w:r>
        <w:rPr>
          <w:b/>
        </w:rPr>
        <w:t>Manifeste</w:t>
      </w:r>
      <w:r>
        <w:t xml:space="preserve"> — valeurs et positionnement du Lab</w:t>
      </w:r>
    </w:p>
    <w:p>
      <w:pPr>
        <w:pStyle w:val="ListNumber"/>
      </w:pPr>
      <w:r>
        <w:rPr>
          <w:b/>
        </w:rPr>
        <w:t>Plan de communication</w:t>
      </w:r>
      <w:r>
        <w:t xml:space="preserve"> — 12 semaines pour générer la demande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arianne" w:hAnsi="Mariann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