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Rapport SIRCOM</w:t>
      </w:r>
    </w:p>
    <w:p>
      <w:pPr>
        <w:pStyle w:val="Heading1"/>
      </w:pPr>
      <w:r>
        <w:t>Rapport d'opportunité : Le vibe coding au service de la communication publique</w:t>
      </w:r>
    </w:p>
    <w:p>
      <w:r>
        <w:rPr>
          <w:b/>
        </w:rPr>
        <w:t>16 outils numériques pour renforcer la visibilité, la gouvernance et l'image du ministère</w:t>
      </w:r>
    </w:p>
    <w:p>
      <w:r>
        <w:t>Bertrand Matge — MIWEB, Mission Ingénierie du Web</w:t>
      </w:r>
    </w:p>
    <w:p>
      <w:r>
        <w:t>Service du numérique (SNUM) — Février 2026</w:t>
      </w:r>
    </w:p>
    <w:p>
      <w:pPr>
        <w:ind w:left="567"/>
      </w:pPr>
      <w:r>
        <w:t xml:space="preserve">En 6 mois, </w:t>
      </w:r>
      <w:r>
        <w:rPr>
          <w:b/>
        </w:rPr>
        <w:t>1 agent public</w:t>
      </w:r>
      <w:r>
        <w:t xml:space="preserve"> équipé d'IA générative a produit </w:t>
      </w:r>
      <w:r>
        <w:rPr>
          <w:b/>
        </w:rPr>
        <w:t>16 outils numériques</w:t>
      </w:r>
      <w:r>
        <w:t xml:space="preserve"> directement utiles à la communication ministérielle — pour un coût estimé </w:t>
      </w:r>
      <w:r>
        <w:rPr>
          <w:b/>
        </w:rPr>
        <w:t>8 fois inférieur</w:t>
      </w:r>
      <w:r>
        <w:t xml:space="preserve"> à une prestation équivalente.</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16 outils produits</w:t>
            </w:r>
            <w:r>
              <w:t xml:space="preserve"> — tous orientés communication</w:t>
            </w:r>
          </w:p>
        </w:tc>
        <w:tc>
          <w:tcPr>
            <w:tcW w:type="dxa" w:w="2880"/>
          </w:tcPr>
          <w:p>
            <w:r/>
            <w:r>
              <w:rPr>
                <w:b/>
              </w:rPr>
              <w:t>~700 K€</w:t>
            </w:r>
            <w:r>
              <w:t xml:space="preserve"> coût presta. équivalent — ~1 200 jours-homme</w:t>
            </w:r>
          </w:p>
        </w:tc>
        <w:tc>
          <w:tcPr>
            <w:tcW w:type="dxa" w:w="2880"/>
          </w:tcPr>
          <w:p>
            <w:r/>
            <w:r>
              <w:rPr>
                <w:b/>
              </w:rPr>
              <w:t>88 % d'économie</w:t>
            </w:r>
            <w:r>
              <w:t xml:space="preserve"> vs. prestation classique</w:t>
            </w:r>
          </w:p>
        </w:tc>
      </w:tr>
    </w:tbl>
    <w:p>
      <w:pPr>
        <w:pStyle w:val="Heading2"/>
      </w:pPr>
      <w:r>
        <w:t>1. Pourquoi ce rapport vous concerne</w:t>
      </w:r>
    </w:p>
    <w:p>
      <w:r>
        <w:t xml:space="preserve">Ce document présente les résultats d'une expérimentation menée entre </w:t>
      </w:r>
      <w:r>
        <w:rPr>
          <w:b/>
        </w:rPr>
        <w:t>septembre 2025 et février 2026</w:t>
      </w:r>
      <w:r>
        <w:t xml:space="preserve"> au sein de la MIWEB. En utilisant une méthode appelée </w:t>
      </w:r>
      <w:r>
        <w:rPr>
          <w:b/>
        </w:rPr>
        <w:t>« vibe coding »</w:t>
      </w:r>
      <w:r>
        <w:t xml:space="preserve"> — développement assisté par intelligence artificielle — un seul agent public a produit </w:t>
      </w:r>
      <w:r>
        <w:rPr>
          <w:b/>
        </w:rPr>
        <w:t>16 outils numériques fonctionnels</w:t>
      </w:r>
      <w:r>
        <w:t>.</w:t>
      </w:r>
    </w:p>
    <w:p>
      <w:r>
        <w:t xml:space="preserve">Ce qui rend ces réalisations particulièrement pertinentes pour la Direction de la Communication, c'est que chacun de ces outils répond à un </w:t>
      </w:r>
      <w:r>
        <w:rPr>
          <w:b/>
        </w:rPr>
        <w:t>besoin concret de visibilité, de gouvernance éditoriale ou d'image du ministère</w:t>
      </w:r>
      <w:r>
        <w:t xml:space="preserve">. Ils ne sont pas des exercices techniques : ce sont des </w:t>
      </w:r>
      <w:r>
        <w:rPr>
          <w:b/>
        </w:rPr>
        <w:t>solutions opérationnelles</w:t>
      </w:r>
      <w:r>
        <w:t xml:space="preserve"> au service de la stratégie de communication.</w:t>
      </w:r>
    </w:p>
    <w:p>
      <w:pPr>
        <w:pStyle w:val="Heading2"/>
      </w:pPr>
      <w:r>
        <w:t>2. Le vibe coding en 30 secondes</w:t>
      </w:r>
    </w:p>
    <w:p>
      <w:r>
        <w:t xml:space="preserve">Le vibe coding est une méthode de développement dans laquelle un professionnel </w:t>
      </w:r>
      <w:r>
        <w:rPr>
          <w:b/>
        </w:rPr>
        <w:t>« pilote » une intelligence artificielle</w:t>
      </w:r>
      <w:r>
        <w:t xml:space="preserve"> pour produire du code. L'humain définit le besoin, valide les choix, contrôle la qualité. L'IA génère, corrige et itère à grande vitesse.</w:t>
      </w:r>
    </w:p>
    <w:p>
      <w:r>
        <w:rPr>
          <w:b/>
        </w:rPr>
        <w:t>Résultat concret</w:t>
      </w:r>
      <w:r>
        <w:t xml:space="preserve"> : un profil qui connaît les métiers du ministère peut produire en quelques jours un outil que la prestation classique livrerait en plusieurs semaines, après spécifications, marché public et cycles de recette.</w:t>
      </w:r>
    </w:p>
    <w:p>
      <w:r>
        <w:t xml:space="preserve">Ce n'est pas du code « brouillon ». Les outils produits respectent le </w:t>
      </w:r>
      <w:r>
        <w:rPr>
          <w:b/>
        </w:rPr>
        <w:t>Design Système de l'État (DSFR)</w:t>
      </w:r>
      <w:r>
        <w:t>, sont testés, documentés, et déployables en production.</w:t>
      </w:r>
    </w:p>
    <w:p>
      <w:pPr>
        <w:pStyle w:val="Heading2"/>
      </w:pPr>
      <w:r>
        <w:t>3. 16 outils au service de la communication</w:t>
      </w:r>
    </w:p>
    <w:p>
      <w:r>
        <w:t xml:space="preserve">Chaque projet est présenté ici sous l'angle de sa </w:t>
      </w:r>
      <w:r>
        <w:rPr>
          <w:b/>
        </w:rPr>
        <w:t>valeur pour la Direction de la Communication</w:t>
      </w:r>
      <w:r>
        <w:t xml:space="preserve"> : quel problème résout-il ? Quelle visibilité apporte-t-il ?</w:t>
      </w:r>
    </w:p>
    <w:p>
      <w:pPr>
        <w:pStyle w:val="Heading3"/>
      </w:pPr>
      <w:r>
        <w:t>3.1 Écosystème — La tour de contrôle de vos sites web</w:t>
      </w:r>
    </w:p>
    <w:p>
      <w:r>
        <w:rPr>
          <w:b/>
        </w:rPr>
        <w:t>Plateforme de monitoring et gouvernance</w:t>
      </w:r>
      <w:r>
        <w:t xml:space="preserve"> de l'ensemble des sites web ministériels.</w:t>
      </w:r>
    </w:p>
    <w:p>
      <w:pPr>
        <w:pStyle w:val="ListBullet"/>
      </w:pPr>
      <w:r>
        <w:t>Vision consolidée de tous les sites du ministère : état, performance, accessibilité, conformité DSFR</w:t>
      </w:r>
    </w:p>
    <w:p>
      <w:pPr>
        <w:pStyle w:val="ListBullet"/>
      </w:pPr>
      <w:r>
        <w:t>Alertes proactives sur les certificats SSL, les baisses de performance ou les problèmes d'accessibilité</w:t>
      </w:r>
    </w:p>
    <w:p>
      <w:pPr>
        <w:pStyle w:val="ListBullet"/>
      </w:pPr>
      <w:r>
        <w:t>Tableau de bord décisionnel pour piloter la qualité de l'image numérique du ministère</w:t>
      </w:r>
    </w:p>
    <w:p>
      <w:pPr>
        <w:pStyle w:val="ListBullet"/>
      </w:pPr>
      <w:r>
        <w:t>Serveur MCP intégré pour interroger les données depuis Claude ou tout assistant IA</w:t>
      </w:r>
    </w:p>
    <w:p>
      <w:pPr>
        <w:ind w:left="567"/>
      </w:pPr>
      <w:r>
        <w:rPr>
          <w:b/>
        </w:rPr>
        <w:t>Exemple concret</w:t>
      </w:r>
      <w:r>
        <w:t xml:space="preserve"> : Un site du ministère présente un certificat SSL expiré → l'alerte est envoyée avant que les usagers ne voient un message d'erreur.</w:t>
      </w:r>
    </w:p>
    <w:tbl>
      <w:tblPr>
        <w:tblStyle w:val="TableGrid"/>
        <w:tblW w:type="auto" w:w="0"/>
        <w:tblLook w:firstColumn="1" w:firstRow="1" w:lastColumn="0" w:lastRow="0" w:noHBand="0" w:noVBand="1" w:val="04A0"/>
      </w:tblPr>
      <w:tblGrid>
        <w:gridCol w:w="4320"/>
        <w:gridCol w:w="4320"/>
      </w:tblGrid>
      <w:tr>
        <w:tc>
          <w:tcPr>
            <w:tcW w:type="dxa" w:w="4320"/>
          </w:tcPr>
          <w:p>
            <w:r/>
          </w:p>
        </w:tc>
        <w:tc>
          <w:tcPr>
            <w:tcW w:type="dxa" w:w="4320"/>
          </w:tcPr>
          <w:p>
            <w:r/>
          </w:p>
        </w:tc>
      </w:tr>
      <w:tr>
        <w:tc>
          <w:tcPr>
            <w:tcW w:type="dxa" w:w="4320"/>
          </w:tcPr>
          <w:p>
            <w:r/>
            <w:r>
              <w:rPr>
                <w:b/>
              </w:rPr>
              <w:t>238 000</w:t>
            </w:r>
            <w:r>
              <w:t xml:space="preserve"> lignes de code</w:t>
            </w:r>
          </w:p>
        </w:tc>
        <w:tc>
          <w:tcPr>
            <w:tcW w:type="dxa" w:w="4320"/>
          </w:tcPr>
          <w:p>
            <w:r/>
            <w:r>
              <w:rPr>
                <w:b/>
              </w:rPr>
              <w:t>312 K€</w:t>
            </w:r>
            <w:r>
              <w:t xml:space="preserve"> coût presta. équiv.</w:t>
            </w:r>
          </w:p>
        </w:tc>
      </w:tr>
      <w:tr>
        <w:tc>
          <w:tcPr>
            <w:tcW w:type="dxa" w:w="4320"/>
          </w:tcPr>
          <w:p>
            <w:r/>
            <w:r>
              <w:rPr>
                <w:b/>
              </w:rPr>
              <w:t>18</w:t>
            </w:r>
            <w:r>
              <w:t xml:space="preserve"> scanners automatiques</w:t>
            </w:r>
          </w:p>
        </w:tc>
        <w:tc>
          <w:tcPr>
            <w:tcW w:type="dxa" w:w="4320"/>
          </w:tcPr>
          <w:p>
            <w:r/>
          </w:p>
        </w:tc>
      </w:tr>
    </w:tbl>
    <w:p>
      <w:pPr>
        <w:pStyle w:val="Heading3"/>
      </w:pPr>
      <w:r>
        <w:t>3.2 Portail Eco Browser — Connaître votre portail sur le bout des doigts</w:t>
      </w:r>
    </w:p>
    <w:p>
      <w:r>
        <w:rPr>
          <w:b/>
        </w:rPr>
        <w:t>Outil d'exploration et d'intelligence éditoriale</w:t>
      </w:r>
      <w:r>
        <w:t xml:space="preserve"> du portail economie.gouv.fr.</w:t>
      </w:r>
    </w:p>
    <w:p>
      <w:pPr>
        <w:pStyle w:val="ListBullet"/>
      </w:pPr>
      <w:r>
        <w:t>Cartographie complète du contenu publié : pages, rubriques, fréquentation, parcours utilisateurs</w:t>
      </w:r>
    </w:p>
    <w:p>
      <w:pPr>
        <w:pStyle w:val="ListBullet"/>
      </w:pPr>
      <w:r>
        <w:t>Analyse sémantique automatisée pour identifier les redondances, lacunes et contenus obsolètes</w:t>
      </w:r>
    </w:p>
    <w:p>
      <w:pPr>
        <w:pStyle w:val="ListBullet"/>
      </w:pPr>
      <w:r>
        <w:t>Croisement multi-sources (Eulerian, Cloudflare, Google Search Console) pour une vision 360° de l'audience</w:t>
      </w:r>
    </w:p>
    <w:p>
      <w:pPr>
        <w:pStyle w:val="ListBullet"/>
      </w:pPr>
      <w:r>
        <w:t>Assistant IA intégré (Albert) pour interroger le contenu en langage naturel</w:t>
      </w:r>
    </w:p>
    <w:p>
      <w:pPr>
        <w:ind w:left="567"/>
      </w:pPr>
      <w:r>
        <w:rPr>
          <w:b/>
        </w:rPr>
        <w:t>Exemple concret</w:t>
      </w:r>
      <w:r>
        <w:t xml:space="preserve"> : Le DIRCOM demande « Quels contenus sur la transition énergétique sont les plus consultés et lesquels sont obsolètes ? » → réponse en quelques clics.</w:t>
      </w:r>
    </w:p>
    <w:tbl>
      <w:tblPr>
        <w:tblStyle w:val="TableGrid"/>
        <w:tblW w:type="auto" w:w="0"/>
        <w:tblLook w:firstColumn="1" w:firstRow="1" w:lastColumn="0" w:lastRow="0" w:noHBand="0" w:noVBand="1" w:val="04A0"/>
      </w:tblPr>
      <w:tblGrid>
        <w:gridCol w:w="4320"/>
        <w:gridCol w:w="4320"/>
      </w:tblGrid>
      <w:tr>
        <w:tc>
          <w:tcPr>
            <w:tcW w:type="dxa" w:w="4320"/>
          </w:tcPr>
          <w:p>
            <w:r/>
          </w:p>
        </w:tc>
        <w:tc>
          <w:tcPr>
            <w:tcW w:type="dxa" w:w="4320"/>
          </w:tcPr>
          <w:p>
            <w:r/>
          </w:p>
        </w:tc>
      </w:tr>
      <w:tr>
        <w:tc>
          <w:tcPr>
            <w:tcW w:type="dxa" w:w="4320"/>
          </w:tcPr>
          <w:p>
            <w:r/>
            <w:r>
              <w:rPr>
                <w:b/>
              </w:rPr>
              <w:t>88 500</w:t>
            </w:r>
            <w:r>
              <w:t xml:space="preserve"> lignes de code</w:t>
            </w:r>
          </w:p>
        </w:tc>
        <w:tc>
          <w:tcPr>
            <w:tcW w:type="dxa" w:w="4320"/>
          </w:tcPr>
          <w:p>
            <w:r/>
            <w:r>
              <w:rPr>
                <w:b/>
              </w:rPr>
              <w:t>162 K€</w:t>
            </w:r>
            <w:r>
              <w:t xml:space="preserve"> coût presta. équiv.</w:t>
            </w:r>
          </w:p>
        </w:tc>
      </w:tr>
      <w:tr>
        <w:tc>
          <w:tcPr>
            <w:tcW w:type="dxa" w:w="4320"/>
          </w:tcPr>
          <w:p>
            <w:r/>
            <w:r>
              <w:rPr>
                <w:b/>
              </w:rPr>
              <w:t>1 290</w:t>
            </w:r>
            <w:r>
              <w:t xml:space="preserve"> tests automatisés</w:t>
            </w:r>
          </w:p>
        </w:tc>
        <w:tc>
          <w:tcPr>
            <w:tcW w:type="dxa" w:w="4320"/>
          </w:tcPr>
          <w:p>
            <w:r/>
          </w:p>
        </w:tc>
      </w:tr>
    </w:tbl>
    <w:p>
      <w:pPr>
        <w:pStyle w:val="Heading3"/>
      </w:pPr>
      <w:r>
        <w:t>3.3 ChartsBuilder — La dataviz aux couleurs de l'État</w:t>
      </w:r>
    </w:p>
    <w:p>
      <w:r>
        <w:rPr>
          <w:b/>
        </w:rPr>
        <w:t>Bibliothèque de composants de visualisation de données</w:t>
      </w:r>
      <w:r>
        <w:t>, conforme DSFR, prête à l'emploi.</w:t>
      </w:r>
    </w:p>
    <w:p>
      <w:pPr>
        <w:pStyle w:val="ListBullet"/>
      </w:pPr>
      <w:r>
        <w:t>24 composants graphiques (barres, lignes, camemberts, cartes, KPI, tableaux) au design officiel</w:t>
      </w:r>
    </w:p>
    <w:p>
      <w:pPr>
        <w:pStyle w:val="ListBullet"/>
      </w:pPr>
      <w:r>
        <w:t>Connecteurs intégrés vers les API publiques (data.gouv.fr, INSEE, OpenDataSoft)</w:t>
      </w:r>
    </w:p>
    <w:p>
      <w:pPr>
        <w:pStyle w:val="ListBullet"/>
      </w:pPr>
      <w:r>
        <w:t>Builder visuel et builder IA : les rédacteurs web créent des graphiques sans code</w:t>
      </w:r>
    </w:p>
    <w:p>
      <w:pPr>
        <w:pStyle w:val="ListBullet"/>
      </w:pPr>
      <w:r>
        <w:t>Intégrable dans n'importe quel site du ministère par simple copier-coller HTML</w:t>
      </w:r>
    </w:p>
    <w:p>
      <w:pPr>
        <w:ind w:left="567"/>
      </w:pPr>
      <w:r>
        <w:rPr>
          <w:b/>
        </w:rPr>
        <w:t>Exemple concret</w:t>
      </w:r>
      <w:r>
        <w:t xml:space="preserve"> : Un rédacteur veut illustrer un article sur le commerce extérieur avec un graphique → il utilise le builder, choisit sa source de données, et obtient un graphique DSFR en 2 minutes.</w:t>
      </w:r>
    </w:p>
    <w:tbl>
      <w:tblPr>
        <w:tblStyle w:val="TableGrid"/>
        <w:tblW w:type="auto" w:w="0"/>
        <w:tblLook w:firstColumn="1" w:firstRow="1" w:lastColumn="0" w:lastRow="0" w:noHBand="0" w:noVBand="1" w:val="04A0"/>
      </w:tblPr>
      <w:tblGrid>
        <w:gridCol w:w="4320"/>
        <w:gridCol w:w="4320"/>
      </w:tblGrid>
      <w:tr>
        <w:tc>
          <w:tcPr>
            <w:tcW w:type="dxa" w:w="4320"/>
          </w:tcPr>
          <w:p>
            <w:r/>
          </w:p>
        </w:tc>
        <w:tc>
          <w:tcPr>
            <w:tcW w:type="dxa" w:w="4320"/>
          </w:tcPr>
          <w:p>
            <w:r/>
          </w:p>
        </w:tc>
      </w:tr>
      <w:tr>
        <w:tc>
          <w:tcPr>
            <w:tcW w:type="dxa" w:w="4320"/>
          </w:tcPr>
          <w:p>
            <w:r/>
            <w:r>
              <w:rPr>
                <w:b/>
              </w:rPr>
              <w:t>24</w:t>
            </w:r>
            <w:r>
              <w:t xml:space="preserve"> composants dataviz</w:t>
            </w:r>
          </w:p>
        </w:tc>
        <w:tc>
          <w:tcPr>
            <w:tcW w:type="dxa" w:w="4320"/>
          </w:tcPr>
          <w:p>
            <w:r/>
            <w:r>
              <w:rPr>
                <w:b/>
              </w:rPr>
              <w:t>120 K€</w:t>
            </w:r>
            <w:r>
              <w:t xml:space="preserve"> coût presta. équiv.</w:t>
            </w:r>
          </w:p>
        </w:tc>
      </w:tr>
      <w:tr>
        <w:tc>
          <w:tcPr>
            <w:tcW w:type="dxa" w:w="4320"/>
          </w:tcPr>
          <w:p>
            <w:r/>
            <w:r>
              <w:rPr>
                <w:b/>
              </w:rPr>
              <w:t>5</w:t>
            </w:r>
            <w:r>
              <w:t xml:space="preserve"> connecteurs API</w:t>
            </w:r>
          </w:p>
        </w:tc>
        <w:tc>
          <w:tcPr>
            <w:tcW w:type="dxa" w:w="4320"/>
          </w:tcPr>
          <w:p>
            <w:r/>
          </w:p>
        </w:tc>
      </w:tr>
    </w:tbl>
    <w:p>
      <w:pPr>
        <w:pStyle w:val="Heading3"/>
      </w:pPr>
      <w:r>
        <w:t>3.4 Thème LimeSurvey DSFR — Des enquêtes publiques à l'image de l'État</w:t>
      </w:r>
    </w:p>
    <w:p>
      <w:r>
        <w:rPr>
          <w:b/>
        </w:rPr>
        <w:t>Habillage complet</w:t>
      </w:r>
      <w:r>
        <w:t xml:space="preserve"> du logiciel d'enquêtes LimeSurvey aux couleurs du DSFR.</w:t>
      </w:r>
    </w:p>
    <w:p>
      <w:pPr>
        <w:pStyle w:val="ListBullet"/>
      </w:pPr>
      <w:r>
        <w:t>Toute consultation ou enquête publique peut désormais porter l'identité visuelle de l'État</w:t>
      </w:r>
    </w:p>
    <w:p>
      <w:pPr>
        <w:pStyle w:val="ListBullet"/>
      </w:pPr>
      <w:r>
        <w:t>Plugin IA conversationnelle (Albert) pour enrichir l'expérience répondant</w:t>
      </w:r>
    </w:p>
    <w:p>
      <w:pPr>
        <w:pStyle w:val="ListBullet"/>
      </w:pPr>
      <w:r>
        <w:t>Emails de notification également aux couleurs ministérielles (plugin DSFRMail)</w:t>
      </w:r>
    </w:p>
    <w:p>
      <w:pPr>
        <w:pStyle w:val="ListBullet"/>
      </w:pPr>
      <w:r>
        <w:t>Cohérence visuelle renforcée entre le portail et les outils d'interaction citoyenne</w:t>
      </w:r>
    </w:p>
    <w:p>
      <w:pPr>
        <w:ind w:left="567"/>
      </w:pPr>
      <w:r>
        <w:rPr>
          <w:b/>
        </w:rPr>
        <w:t>Exemple concret</w:t>
      </w:r>
      <w:r>
        <w:t xml:space="preserve"> : La prochaine consultation publique du ministère apparaît avec le design officiel, renforçant la crédibilité et la confiance des répondants.</w:t>
      </w:r>
    </w:p>
    <w:tbl>
      <w:tblPr>
        <w:tblStyle w:val="TableGrid"/>
        <w:tblW w:type="auto" w:w="0"/>
        <w:tblLook w:firstColumn="1" w:firstRow="1" w:lastColumn="0" w:lastRow="0" w:noHBand="0" w:noVBand="1" w:val="04A0"/>
      </w:tblPr>
      <w:tblGrid>
        <w:gridCol w:w="4320"/>
        <w:gridCol w:w="4320"/>
      </w:tblGrid>
      <w:tr>
        <w:tc>
          <w:tcPr>
            <w:tcW w:type="dxa" w:w="4320"/>
          </w:tcPr>
          <w:p>
            <w:r/>
          </w:p>
        </w:tc>
        <w:tc>
          <w:tcPr>
            <w:tcW w:type="dxa" w:w="4320"/>
          </w:tcPr>
          <w:p>
            <w:r/>
          </w:p>
        </w:tc>
      </w:tr>
      <w:tr>
        <w:tc>
          <w:tcPr>
            <w:tcW w:type="dxa" w:w="4320"/>
          </w:tcPr>
          <w:p>
            <w:r/>
            <w:r>
              <w:rPr>
                <w:b/>
              </w:rPr>
              <w:t>DSFR complet</w:t>
            </w:r>
            <w:r>
              <w:t xml:space="preserve"> — 3 plugins</w:t>
            </w:r>
          </w:p>
        </w:tc>
        <w:tc>
          <w:tcPr>
            <w:tcW w:type="dxa" w:w="4320"/>
          </w:tcPr>
          <w:p>
            <w:r/>
            <w:r>
              <w:rPr>
                <w:b/>
              </w:rPr>
              <w:t>27 K€</w:t>
            </w:r>
            <w:r>
              <w:t xml:space="preserve"> coût presta. équiv.</w:t>
            </w:r>
          </w:p>
        </w:tc>
      </w:tr>
    </w:tbl>
    <w:p>
      <w:pPr>
        <w:pStyle w:val="Heading3"/>
      </w:pPr>
      <w:r>
        <w:t>3.5 Organigrammes — Automatiser la production du studio graphique</w:t>
      </w:r>
    </w:p>
    <w:p>
      <w:r>
        <w:rPr>
          <w:b/>
        </w:rPr>
        <w:t>Générateur automatique d'organigrammes</w:t>
      </w:r>
      <w:r>
        <w:t xml:space="preserve"> à partir de l'API Annuaire du service public.</w:t>
      </w:r>
    </w:p>
    <w:p>
      <w:pPr>
        <w:pStyle w:val="ListBullet"/>
      </w:pPr>
      <w:r>
        <w:t>Automatisation d'un processus chronophage du studio graphique ministériel</w:t>
      </w:r>
    </w:p>
    <w:p>
      <w:pPr>
        <w:pStyle w:val="ListBullet"/>
      </w:pPr>
      <w:r>
        <w:t>Génération en un clic de l'arbre hiérarchique de n'importe quel organisme public</w:t>
      </w:r>
    </w:p>
    <w:p>
      <w:pPr>
        <w:pStyle w:val="ListBullet"/>
      </w:pPr>
      <w:r>
        <w:t>Deux modes de rendu : HTML/CSS pour l'impression, D3 interactif pour le web</w:t>
      </w:r>
    </w:p>
    <w:p>
      <w:pPr>
        <w:pStyle w:val="ListBullet"/>
      </w:pPr>
      <w:r>
        <w:t>Export multi-format : PNG, SVG, PDF (A4/A3), JSON, CSV</w:t>
      </w:r>
    </w:p>
    <w:p>
      <w:pPr>
        <w:ind w:left="567"/>
      </w:pPr>
      <w:r>
        <w:rPr>
          <w:b/>
        </w:rPr>
        <w:t>Exemple concret</w:t>
      </w:r>
      <w:r>
        <w:t xml:space="preserve"> : Le studio graphique reçoit une demande d'organigramme d'une direction → au lieu de 2 jours de travail manuel, l'outil le génère en 30 secondes.</w:t>
      </w:r>
    </w:p>
    <w:tbl>
      <w:tblPr>
        <w:tblStyle w:val="TableGrid"/>
        <w:tblW w:type="auto" w:w="0"/>
        <w:tblLook w:firstColumn="1" w:firstRow="1" w:lastColumn="0" w:lastRow="0" w:noHBand="0" w:noVBand="1" w:val="04A0"/>
      </w:tblPr>
      <w:tblGrid>
        <w:gridCol w:w="4320"/>
        <w:gridCol w:w="4320"/>
      </w:tblGrid>
      <w:tr>
        <w:tc>
          <w:tcPr>
            <w:tcW w:type="dxa" w:w="4320"/>
          </w:tcPr>
          <w:p>
            <w:r/>
          </w:p>
        </w:tc>
        <w:tc>
          <w:tcPr>
            <w:tcW w:type="dxa" w:w="4320"/>
          </w:tcPr>
          <w:p>
            <w:r/>
          </w:p>
        </w:tc>
      </w:tr>
      <w:tr>
        <w:tc>
          <w:tcPr>
            <w:tcW w:type="dxa" w:w="4320"/>
          </w:tcPr>
          <w:p>
            <w:r/>
            <w:r>
              <w:rPr>
                <w:b/>
              </w:rPr>
              <w:t>DSFR natif</w:t>
            </w:r>
            <w:r>
              <w:t xml:space="preserve"> — 30 sec par organigramme</w:t>
            </w:r>
          </w:p>
        </w:tc>
        <w:tc>
          <w:tcPr>
            <w:tcW w:type="dxa" w:w="4320"/>
          </w:tcPr>
          <w:p>
            <w:r/>
            <w:r>
              <w:rPr>
                <w:b/>
              </w:rPr>
              <w:t>6 K€</w:t>
            </w:r>
            <w:r>
              <w:t xml:space="preserve"> coût presta. équiv.</w:t>
            </w:r>
          </w:p>
        </w:tc>
      </w:tr>
    </w:tbl>
    <w:p>
      <w:pPr>
        <w:pStyle w:val="Heading3"/>
      </w:pPr>
      <w:r>
        <w:t>3.6 Comparateurs grand public — Valoriser les données du ministère</w:t>
      </w:r>
    </w:p>
    <w:p>
      <w:r>
        <w:rPr>
          <w:b/>
        </w:rPr>
        <w:t>Deux démonstrateurs de services grand public</w:t>
      </w:r>
      <w:r>
        <w:t xml:space="preserve"> basés sur les données ouvertes du ministère : </w:t>
      </w:r>
      <w:r>
        <w:rPr>
          <w:b/>
        </w:rPr>
        <w:t>Prix Contrôle Technique</w:t>
      </w:r>
      <w:r>
        <w:t xml:space="preserve"> et </w:t>
      </w:r>
      <w:r>
        <w:rPr>
          <w:b/>
        </w:rPr>
        <w:t>Tarifs Bancaires</w:t>
      </w:r>
      <w:r>
        <w:t>.</w:t>
      </w:r>
    </w:p>
    <w:p>
      <w:pPr>
        <w:pStyle w:val="ListBullet"/>
      </w:pPr>
      <w:r>
        <w:t>Démonstration concrète de la valeur des open data pour les citoyens</w:t>
      </w:r>
    </w:p>
    <w:p>
      <w:pPr>
        <w:pStyle w:val="ListBullet"/>
      </w:pPr>
      <w:r>
        <w:t>Outils directement publiables sur le portail pour accroître le trafic et l'utilité perçue</w:t>
      </w:r>
    </w:p>
    <w:p>
      <w:pPr>
        <w:pStyle w:val="ListBullet"/>
      </w:pPr>
      <w:r>
        <w:t>Design DSFR natif, responsive, accessible — prêts à communiquer</w:t>
      </w:r>
    </w:p>
    <w:p>
      <w:pPr>
        <w:pStyle w:val="ListBullet"/>
      </w:pPr>
      <w:r>
        <w:t>Carte interactive, filtres, comparaisons — engageants pour les usagers</w:t>
      </w:r>
    </w:p>
    <w:p>
      <w:pPr>
        <w:ind w:left="567"/>
      </w:pPr>
      <w:r>
        <w:rPr>
          <w:b/>
        </w:rPr>
        <w:t>Exemple concret</w:t>
      </w:r>
      <w:r>
        <w:t xml:space="preserve"> : Un citoyen cherche le prix du contrôle technique près de chez lui → le comparateur du ministère lui répond, renforçant la visibilité du portail.</w:t>
      </w:r>
    </w:p>
    <w:tbl>
      <w:tblPr>
        <w:tblStyle w:val="TableGrid"/>
        <w:tblW w:type="auto" w:w="0"/>
        <w:tblLook w:firstColumn="1" w:firstRow="1" w:lastColumn="0" w:lastRow="0" w:noHBand="0" w:noVBand="1" w:val="04A0"/>
      </w:tblPr>
      <w:tblGrid>
        <w:gridCol w:w="4320"/>
        <w:gridCol w:w="4320"/>
      </w:tblGrid>
      <w:tr>
        <w:tc>
          <w:tcPr>
            <w:tcW w:type="dxa" w:w="4320"/>
          </w:tcPr>
          <w:p>
            <w:r/>
          </w:p>
        </w:tc>
        <w:tc>
          <w:tcPr>
            <w:tcW w:type="dxa" w:w="4320"/>
          </w:tcPr>
          <w:p>
            <w:r/>
          </w:p>
        </w:tc>
      </w:tr>
      <w:tr>
        <w:tc>
          <w:tcPr>
            <w:tcW w:type="dxa" w:w="4320"/>
          </w:tcPr>
          <w:p>
            <w:r/>
            <w:r>
              <w:rPr>
                <w:b/>
              </w:rPr>
              <w:t>2 POC fonctionnels</w:t>
            </w:r>
            <w:r>
              <w:t xml:space="preserve"> — API data.economie.gouv.fr</w:t>
            </w:r>
          </w:p>
        </w:tc>
        <w:tc>
          <w:tcPr>
            <w:tcW w:type="dxa" w:w="4320"/>
          </w:tcPr>
          <w:p>
            <w:r/>
            <w:r>
              <w:rPr>
                <w:b/>
              </w:rPr>
              <w:t>27 K€</w:t>
            </w:r>
            <w:r>
              <w:t xml:space="preserve"> coût presta. équiv.</w:t>
            </w:r>
          </w:p>
        </w:tc>
      </w:tr>
    </w:tbl>
    <w:p>
      <w:pPr>
        <w:pStyle w:val="Heading3"/>
      </w:pPr>
      <w:r>
        <w:t>3.7 LeFouineur — Veiller à la qualité des contributions web</w:t>
      </w:r>
    </w:p>
    <w:p>
      <w:r>
        <w:rPr>
          <w:b/>
        </w:rPr>
        <w:t>Extension navigateur d'alerte et d'analyse qualité</w:t>
      </w:r>
      <w:r>
        <w:t xml:space="preserve"> pour les contributeurs web du ministère.</w:t>
      </w:r>
    </w:p>
    <w:p>
      <w:pPr>
        <w:pStyle w:val="ListBullet"/>
      </w:pPr>
      <w:r>
        <w:t>Alerte en temps réel les rédacteurs sur la qualité de leurs publications</w:t>
      </w:r>
    </w:p>
    <w:p>
      <w:pPr>
        <w:pStyle w:val="ListBullet"/>
      </w:pPr>
      <w:r>
        <w:t>Vérification automatisée des bonnes pratiques éditoriales et techniques</w:t>
      </w:r>
    </w:p>
    <w:p>
      <w:pPr>
        <w:pStyle w:val="ListBullet"/>
      </w:pPr>
      <w:r>
        <w:t>Outil léger (90 Ko), sans installation complexe, déployable immédiatement</w:t>
      </w:r>
    </w:p>
    <w:p>
      <w:pPr>
        <w:pStyle w:val="ListBullet"/>
      </w:pPr>
      <w:r>
        <w:t>Amélioration continue de la qualité des contenus publiés sur le portail</w:t>
      </w:r>
    </w:p>
    <w:tbl>
      <w:tblPr>
        <w:tblStyle w:val="TableGrid"/>
        <w:tblW w:type="auto" w:w="0"/>
        <w:tblLook w:firstColumn="1" w:firstRow="1" w:lastColumn="0" w:lastRow="0" w:noHBand="0" w:noVBand="1" w:val="04A0"/>
      </w:tblPr>
      <w:tblGrid>
        <w:gridCol w:w="4320"/>
        <w:gridCol w:w="4320"/>
      </w:tblGrid>
      <w:tr>
        <w:tc>
          <w:tcPr>
            <w:tcW w:type="dxa" w:w="4320"/>
          </w:tcPr>
          <w:p>
            <w:r/>
          </w:p>
        </w:tc>
        <w:tc>
          <w:tcPr>
            <w:tcW w:type="dxa" w:w="4320"/>
          </w:tcPr>
          <w:p>
            <w:r/>
          </w:p>
        </w:tc>
      </w:tr>
      <w:tr>
        <w:tc>
          <w:tcPr>
            <w:tcW w:type="dxa" w:w="4320"/>
          </w:tcPr>
          <w:p>
            <w:r/>
            <w:r>
              <w:rPr>
                <w:b/>
              </w:rPr>
              <w:t>90 Ko</w:t>
            </w:r>
            <w:r>
              <w:t xml:space="preserve"> ultra-léger — 0 dépendance externe</w:t>
            </w:r>
          </w:p>
        </w:tc>
        <w:tc>
          <w:tcPr>
            <w:tcW w:type="dxa" w:w="4320"/>
          </w:tcPr>
          <w:p>
            <w:r/>
            <w:r>
              <w:rPr>
                <w:b/>
              </w:rPr>
              <w:t>9 K€</w:t>
            </w:r>
            <w:r>
              <w:t xml:space="preserve"> coût presta. équiv.</w:t>
            </w:r>
          </w:p>
        </w:tc>
      </w:tr>
    </w:tbl>
    <w:p>
      <w:pPr>
        <w:pStyle w:val="Heading3"/>
      </w:pPr>
      <w:r>
        <w:t>3.8 Nouveaux outils (2e vague)</w:t>
      </w:r>
    </w:p>
    <w:p>
      <w:r>
        <w:t>Depuis les 8 premiers projets, 8 outils supplémentaires ont été produits avec la même méthode :</w:t>
      </w:r>
    </w:p>
    <w:p>
      <w:pPr>
        <w:pStyle w:val="ListBullet"/>
      </w:pPr>
      <w:r>
        <w:rPr>
          <w:b/>
        </w:rPr>
        <w:t>Site vitrine Vibe Lab</w:t>
      </w:r>
      <w:r>
        <w:t xml:space="preserve"> — Mini-site de présentation de la démarche avec accès aux documents, Kanban de suivi et fiches projet détaillées (~3 000 LOC, 5 j/h)</w:t>
      </w:r>
    </w:p>
    <w:p>
      <w:pPr>
        <w:pStyle w:val="ListBullet"/>
      </w:pPr>
      <w:r>
        <w:rPr>
          <w:b/>
        </w:rPr>
        <w:t>POC portail consommation (DGCCRF)</w:t>
      </w:r>
      <w:r>
        <w:t xml:space="preserve"> — Prototype de fiches automatisées et recherche sémantique pour les consommateurs. Première collaboration inter-directions du Lab (~7 300 LOC, ~30 j/h)</w:t>
      </w:r>
    </w:p>
    <w:p>
      <w:pPr>
        <w:pStyle w:val="ListBullet"/>
      </w:pPr>
      <w:r>
        <w:rPr>
          <w:b/>
        </w:rPr>
        <w:t>Modèle de maturité communication</w:t>
      </w:r>
      <w:r>
        <w:t xml:space="preserve"> — Outil d'évaluation de la maturité communication numérique des ministères, avec radar de visualisation (~4 500 LOC, 10 j/h)</w:t>
      </w:r>
    </w:p>
    <w:p>
      <w:pPr>
        <w:pStyle w:val="ListBullet"/>
      </w:pPr>
      <w:r>
        <w:rPr>
          <w:b/>
        </w:rPr>
        <w:t>Grist Form DSFR</w:t>
      </w:r>
      <w:r>
        <w:t xml:space="preserve"> — Proxy qui applique le style DSFR aux formulaires Grist, permettant aux agents de créer des formulaires conformes sans compétence technique (~2 100 LOC, 5 j/h)</w:t>
      </w:r>
    </w:p>
    <w:p>
      <w:pPr>
        <w:pStyle w:val="ListBullet"/>
      </w:pPr>
      <w:r>
        <w:rPr>
          <w:b/>
        </w:rPr>
        <w:t>Archinalyzer</w:t>
      </w:r>
      <w:r>
        <w:t xml:space="preserve"> — Outil d'archivage et d'analyse des sites web ministériels (~5 000 LOC, 10 j/h)</w:t>
      </w:r>
    </w:p>
    <w:p>
      <w:pPr>
        <w:pStyle w:val="ListBullet"/>
      </w:pPr>
      <w:r>
        <w:rPr>
          <w:b/>
        </w:rPr>
        <w:t>Plugin DSFR email</w:t>
      </w:r>
      <w:r>
        <w:t xml:space="preserve"> — Emails de notification LimeSurvey conformes au DSFR (~1 100 LOC, 3 j/h)</w:t>
      </w:r>
    </w:p>
    <w:p>
      <w:pPr>
        <w:pStyle w:val="ListBullet"/>
      </w:pPr>
      <w:r>
        <w:rPr>
          <w:b/>
        </w:rPr>
        <w:t>Plugin Albert</w:t>
      </w:r>
      <w:r>
        <w:t xml:space="preserve"> — Conversation IA Albert intégrée dans les enquêtes LimeSurvey (~1 000 LOC, 5 j/h)</w:t>
      </w:r>
    </w:p>
    <w:p>
      <w:pPr>
        <w:pStyle w:val="ListBullet"/>
      </w:pPr>
      <w:r>
        <w:rPr>
          <w:b/>
        </w:rPr>
        <w:t>ExcelExit</w:t>
      </w:r>
      <w:r>
        <w:t xml:space="preserve"> — Migration des fichiers Excel critiques vers Grist (en roadmap)</w:t>
      </w:r>
    </w:p>
    <w:p>
      <w:pPr>
        <w:pStyle w:val="Heading2"/>
      </w:pPr>
      <w:r>
        <w:t>4. Synthèse des coûts</w:t>
      </w:r>
    </w:p>
    <w:p>
      <w:r>
        <w:t xml:space="preserve">Le tableau ci-dessous consolide les estimations pour l'ensemble des 16 projets, sur la base d'un </w:t>
      </w:r>
      <w:r>
        <w:rPr>
          <w:b/>
        </w:rPr>
        <w:t>TJM prestataire de 600 €</w:t>
      </w:r>
      <w:r>
        <w:t xml:space="preserve"> (développeur junior/intermédiaire en marché public).</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t>Projet</w:t>
            </w:r>
          </w:p>
        </w:tc>
        <w:tc>
          <w:tcPr>
            <w:tcW w:type="dxa" w:w="2160"/>
          </w:tcPr>
          <w:p>
            <w:r/>
            <w:r>
              <w:t>LOC</w:t>
            </w:r>
          </w:p>
        </w:tc>
        <w:tc>
          <w:tcPr>
            <w:tcW w:type="dxa" w:w="2160"/>
          </w:tcPr>
          <w:p>
            <w:r/>
            <w:r>
              <w:t>Jours-homme</w:t>
            </w:r>
          </w:p>
        </w:tc>
        <w:tc>
          <w:tcPr>
            <w:tcW w:type="dxa" w:w="2160"/>
          </w:tcPr>
          <w:p>
            <w:r/>
            <w:r>
              <w:t>Coût presta.</w:t>
            </w:r>
          </w:p>
        </w:tc>
      </w:tr>
      <w:tr>
        <w:tc>
          <w:tcPr>
            <w:tcW w:type="dxa" w:w="2160"/>
          </w:tcPr>
          <w:p>
            <w:r/>
            <w:r>
              <w:t>Écosystème — Gouvernance web</w:t>
            </w:r>
          </w:p>
        </w:tc>
        <w:tc>
          <w:tcPr>
            <w:tcW w:type="dxa" w:w="2160"/>
          </w:tcPr>
          <w:p>
            <w:r/>
            <w:r>
              <w:t>238 000</w:t>
            </w:r>
          </w:p>
        </w:tc>
        <w:tc>
          <w:tcPr>
            <w:tcW w:type="dxa" w:w="2160"/>
          </w:tcPr>
          <w:p>
            <w:r/>
            <w:r>
              <w:t>520 j/h</w:t>
            </w:r>
          </w:p>
        </w:tc>
        <w:tc>
          <w:tcPr>
            <w:tcW w:type="dxa" w:w="2160"/>
          </w:tcPr>
          <w:p>
            <w:r/>
            <w:r>
              <w:t>312 000 €</w:t>
            </w:r>
          </w:p>
        </w:tc>
      </w:tr>
      <w:tr>
        <w:tc>
          <w:tcPr>
            <w:tcW w:type="dxa" w:w="2160"/>
          </w:tcPr>
          <w:p>
            <w:r/>
            <w:r>
              <w:t>Portail Eco Browser</w:t>
            </w:r>
          </w:p>
        </w:tc>
        <w:tc>
          <w:tcPr>
            <w:tcW w:type="dxa" w:w="2160"/>
          </w:tcPr>
          <w:p>
            <w:r/>
            <w:r>
              <w:t>88 500</w:t>
            </w:r>
          </w:p>
        </w:tc>
        <w:tc>
          <w:tcPr>
            <w:tcW w:type="dxa" w:w="2160"/>
          </w:tcPr>
          <w:p>
            <w:r/>
            <w:r>
              <w:t>270 j/h</w:t>
            </w:r>
          </w:p>
        </w:tc>
        <w:tc>
          <w:tcPr>
            <w:tcW w:type="dxa" w:w="2160"/>
          </w:tcPr>
          <w:p>
            <w:r/>
            <w:r>
              <w:t>162 000 €</w:t>
            </w:r>
          </w:p>
        </w:tc>
      </w:tr>
      <w:tr>
        <w:tc>
          <w:tcPr>
            <w:tcW w:type="dxa" w:w="2160"/>
          </w:tcPr>
          <w:p>
            <w:r/>
            <w:r>
              <w:t>ChartsBuilder (gouv-widgets)</w:t>
            </w:r>
          </w:p>
        </w:tc>
        <w:tc>
          <w:tcPr>
            <w:tcW w:type="dxa" w:w="2160"/>
          </w:tcPr>
          <w:p>
            <w:r/>
            <w:r>
              <w:t>41 500</w:t>
            </w:r>
          </w:p>
        </w:tc>
        <w:tc>
          <w:tcPr>
            <w:tcW w:type="dxa" w:w="2160"/>
          </w:tcPr>
          <w:p>
            <w:r/>
            <w:r>
              <w:t>200 j/h</w:t>
            </w:r>
          </w:p>
        </w:tc>
        <w:tc>
          <w:tcPr>
            <w:tcW w:type="dxa" w:w="2160"/>
          </w:tcPr>
          <w:p>
            <w:r/>
            <w:r>
              <w:t>120 000 €</w:t>
            </w:r>
          </w:p>
        </w:tc>
      </w:tr>
      <w:tr>
        <w:tc>
          <w:tcPr>
            <w:tcW w:type="dxa" w:w="2160"/>
          </w:tcPr>
          <w:p>
            <w:r/>
            <w:r>
              <w:t>Thème LimeSurvey DSFR</w:t>
            </w:r>
          </w:p>
        </w:tc>
        <w:tc>
          <w:tcPr>
            <w:tcW w:type="dxa" w:w="2160"/>
          </w:tcPr>
          <w:p>
            <w:r/>
            <w:r>
              <w:t>~21 000</w:t>
            </w:r>
          </w:p>
        </w:tc>
        <w:tc>
          <w:tcPr>
            <w:tcW w:type="dxa" w:w="2160"/>
          </w:tcPr>
          <w:p>
            <w:r/>
            <w:r>
              <w:t>45 j/h</w:t>
            </w:r>
          </w:p>
        </w:tc>
        <w:tc>
          <w:tcPr>
            <w:tcW w:type="dxa" w:w="2160"/>
          </w:tcPr>
          <w:p>
            <w:r/>
            <w:r>
              <w:t>27 000 €</w:t>
            </w:r>
          </w:p>
        </w:tc>
      </w:tr>
      <w:tr>
        <w:tc>
          <w:tcPr>
            <w:tcW w:type="dxa" w:w="2160"/>
          </w:tcPr>
          <w:p>
            <w:r/>
            <w:r>
              <w:t>Organigrammes service public</w:t>
            </w:r>
          </w:p>
        </w:tc>
        <w:tc>
          <w:tcPr>
            <w:tcW w:type="dxa" w:w="2160"/>
          </w:tcPr>
          <w:p>
            <w:r/>
            <w:r>
              <w:t>~2 900</w:t>
            </w:r>
          </w:p>
        </w:tc>
        <w:tc>
          <w:tcPr>
            <w:tcW w:type="dxa" w:w="2160"/>
          </w:tcPr>
          <w:p>
            <w:r/>
            <w:r>
              <w:t>10 j/h</w:t>
            </w:r>
          </w:p>
        </w:tc>
        <w:tc>
          <w:tcPr>
            <w:tcW w:type="dxa" w:w="2160"/>
          </w:tcPr>
          <w:p>
            <w:r/>
            <w:r>
              <w:t>6 000 €</w:t>
            </w:r>
          </w:p>
        </w:tc>
      </w:tr>
      <w:tr>
        <w:tc>
          <w:tcPr>
            <w:tcW w:type="dxa" w:w="2160"/>
          </w:tcPr>
          <w:p>
            <w:r/>
            <w:r>
              <w:t>Prix Contrôle Technique</w:t>
            </w:r>
          </w:p>
        </w:tc>
        <w:tc>
          <w:tcPr>
            <w:tcW w:type="dxa" w:w="2160"/>
          </w:tcPr>
          <w:p>
            <w:r/>
            <w:r>
              <w:t>3 300</w:t>
            </w:r>
          </w:p>
        </w:tc>
        <w:tc>
          <w:tcPr>
            <w:tcW w:type="dxa" w:w="2160"/>
          </w:tcPr>
          <w:p>
            <w:r/>
            <w:r>
              <w:t>25 j/h</w:t>
            </w:r>
          </w:p>
        </w:tc>
        <w:tc>
          <w:tcPr>
            <w:tcW w:type="dxa" w:w="2160"/>
          </w:tcPr>
          <w:p>
            <w:r/>
            <w:r>
              <w:t>15 000 €</w:t>
            </w:r>
          </w:p>
        </w:tc>
      </w:tr>
      <w:tr>
        <w:tc>
          <w:tcPr>
            <w:tcW w:type="dxa" w:w="2160"/>
          </w:tcPr>
          <w:p>
            <w:r/>
            <w:r>
              <w:t>Tarifs Bancaires</w:t>
            </w:r>
          </w:p>
        </w:tc>
        <w:tc>
          <w:tcPr>
            <w:tcW w:type="dxa" w:w="2160"/>
          </w:tcPr>
          <w:p>
            <w:r/>
            <w:r>
              <w:t>2 100</w:t>
            </w:r>
          </w:p>
        </w:tc>
        <w:tc>
          <w:tcPr>
            <w:tcW w:type="dxa" w:w="2160"/>
          </w:tcPr>
          <w:p>
            <w:r/>
            <w:r>
              <w:t>20 j/h</w:t>
            </w:r>
          </w:p>
        </w:tc>
        <w:tc>
          <w:tcPr>
            <w:tcW w:type="dxa" w:w="2160"/>
          </w:tcPr>
          <w:p>
            <w:r/>
            <w:r>
              <w:t>12 000 €</w:t>
            </w:r>
          </w:p>
        </w:tc>
      </w:tr>
      <w:tr>
        <w:tc>
          <w:tcPr>
            <w:tcW w:type="dxa" w:w="2160"/>
          </w:tcPr>
          <w:p>
            <w:r/>
            <w:r>
              <w:t>LeFouineur (extension)</w:t>
            </w:r>
          </w:p>
        </w:tc>
        <w:tc>
          <w:tcPr>
            <w:tcW w:type="dxa" w:w="2160"/>
          </w:tcPr>
          <w:p>
            <w:r/>
            <w:r>
              <w:t>2 000</w:t>
            </w:r>
          </w:p>
        </w:tc>
        <w:tc>
          <w:tcPr>
            <w:tcW w:type="dxa" w:w="2160"/>
          </w:tcPr>
          <w:p>
            <w:r/>
            <w:r>
              <w:t>15 j/h</w:t>
            </w:r>
          </w:p>
        </w:tc>
        <w:tc>
          <w:tcPr>
            <w:tcW w:type="dxa" w:w="2160"/>
          </w:tcPr>
          <w:p>
            <w:r/>
            <w:r>
              <w:t>9 000 €</w:t>
            </w:r>
          </w:p>
        </w:tc>
      </w:tr>
      <w:tr>
        <w:tc>
          <w:tcPr>
            <w:tcW w:type="dxa" w:w="2160"/>
          </w:tcPr>
          <w:p>
            <w:r/>
            <w:r>
              <w:t>Site vitrine Vibe Lab</w:t>
            </w:r>
          </w:p>
        </w:tc>
        <w:tc>
          <w:tcPr>
            <w:tcW w:type="dxa" w:w="2160"/>
          </w:tcPr>
          <w:p>
            <w:r/>
            <w:r>
              <w:t>~3 000</w:t>
            </w:r>
          </w:p>
        </w:tc>
        <w:tc>
          <w:tcPr>
            <w:tcW w:type="dxa" w:w="2160"/>
          </w:tcPr>
          <w:p>
            <w:r/>
            <w:r>
              <w:t>5 j/h</w:t>
            </w:r>
          </w:p>
        </w:tc>
        <w:tc>
          <w:tcPr>
            <w:tcW w:type="dxa" w:w="2160"/>
          </w:tcPr>
          <w:p>
            <w:r/>
            <w:r>
              <w:t>3 000 €</w:t>
            </w:r>
          </w:p>
        </w:tc>
      </w:tr>
      <w:tr>
        <w:tc>
          <w:tcPr>
            <w:tcW w:type="dxa" w:w="2160"/>
          </w:tcPr>
          <w:p>
            <w:r/>
            <w:r>
              <w:t>POC portail conso (DGCCRF)</w:t>
            </w:r>
          </w:p>
        </w:tc>
        <w:tc>
          <w:tcPr>
            <w:tcW w:type="dxa" w:w="2160"/>
          </w:tcPr>
          <w:p>
            <w:r/>
            <w:r>
              <w:t>~7 300</w:t>
            </w:r>
          </w:p>
        </w:tc>
        <w:tc>
          <w:tcPr>
            <w:tcW w:type="dxa" w:w="2160"/>
          </w:tcPr>
          <w:p>
            <w:r/>
            <w:r>
              <w:t>~30 j/h</w:t>
            </w:r>
          </w:p>
        </w:tc>
        <w:tc>
          <w:tcPr>
            <w:tcW w:type="dxa" w:w="2160"/>
          </w:tcPr>
          <w:p>
            <w:r/>
            <w:r>
              <w:t>18 000 €</w:t>
            </w:r>
          </w:p>
        </w:tc>
      </w:tr>
      <w:tr>
        <w:tc>
          <w:tcPr>
            <w:tcW w:type="dxa" w:w="2160"/>
          </w:tcPr>
          <w:p>
            <w:r/>
            <w:r>
              <w:t>Modèle maturité communication</w:t>
            </w:r>
          </w:p>
        </w:tc>
        <w:tc>
          <w:tcPr>
            <w:tcW w:type="dxa" w:w="2160"/>
          </w:tcPr>
          <w:p>
            <w:r/>
            <w:r>
              <w:t>~4 500</w:t>
            </w:r>
          </w:p>
        </w:tc>
        <w:tc>
          <w:tcPr>
            <w:tcW w:type="dxa" w:w="2160"/>
          </w:tcPr>
          <w:p>
            <w:r/>
            <w:r>
              <w:t>10 j/h</w:t>
            </w:r>
          </w:p>
        </w:tc>
        <w:tc>
          <w:tcPr>
            <w:tcW w:type="dxa" w:w="2160"/>
          </w:tcPr>
          <w:p>
            <w:r/>
            <w:r>
              <w:t>6 000 €</w:t>
            </w:r>
          </w:p>
        </w:tc>
      </w:tr>
      <w:tr>
        <w:tc>
          <w:tcPr>
            <w:tcW w:type="dxa" w:w="2160"/>
          </w:tcPr>
          <w:p>
            <w:r/>
            <w:r>
              <w:t>Grist Form DSFR</w:t>
            </w:r>
          </w:p>
        </w:tc>
        <w:tc>
          <w:tcPr>
            <w:tcW w:type="dxa" w:w="2160"/>
          </w:tcPr>
          <w:p>
            <w:r/>
            <w:r>
              <w:t>~2 100</w:t>
            </w:r>
          </w:p>
        </w:tc>
        <w:tc>
          <w:tcPr>
            <w:tcW w:type="dxa" w:w="2160"/>
          </w:tcPr>
          <w:p>
            <w:r/>
            <w:r>
              <w:t>5 j/h</w:t>
            </w:r>
          </w:p>
        </w:tc>
        <w:tc>
          <w:tcPr>
            <w:tcW w:type="dxa" w:w="2160"/>
          </w:tcPr>
          <w:p>
            <w:r/>
            <w:r>
              <w:t>3 000 €</w:t>
            </w:r>
          </w:p>
        </w:tc>
      </w:tr>
      <w:tr>
        <w:tc>
          <w:tcPr>
            <w:tcW w:type="dxa" w:w="2160"/>
          </w:tcPr>
          <w:p>
            <w:r/>
            <w:r>
              <w:t>Archinalyzer</w:t>
            </w:r>
          </w:p>
        </w:tc>
        <w:tc>
          <w:tcPr>
            <w:tcW w:type="dxa" w:w="2160"/>
          </w:tcPr>
          <w:p>
            <w:r/>
            <w:r>
              <w:t>~5 000</w:t>
            </w:r>
          </w:p>
        </w:tc>
        <w:tc>
          <w:tcPr>
            <w:tcW w:type="dxa" w:w="2160"/>
          </w:tcPr>
          <w:p>
            <w:r/>
            <w:r>
              <w:t>10 j/h</w:t>
            </w:r>
          </w:p>
        </w:tc>
        <w:tc>
          <w:tcPr>
            <w:tcW w:type="dxa" w:w="2160"/>
          </w:tcPr>
          <w:p>
            <w:r/>
            <w:r>
              <w:t>6 000 €</w:t>
            </w:r>
          </w:p>
        </w:tc>
      </w:tr>
      <w:tr>
        <w:tc>
          <w:tcPr>
            <w:tcW w:type="dxa" w:w="2160"/>
          </w:tcPr>
          <w:p>
            <w:r/>
            <w:r>
              <w:t>Plugin DSFR email</w:t>
            </w:r>
          </w:p>
        </w:tc>
        <w:tc>
          <w:tcPr>
            <w:tcW w:type="dxa" w:w="2160"/>
          </w:tcPr>
          <w:p>
            <w:r/>
            <w:r>
              <w:t>~1 100</w:t>
            </w:r>
          </w:p>
        </w:tc>
        <w:tc>
          <w:tcPr>
            <w:tcW w:type="dxa" w:w="2160"/>
          </w:tcPr>
          <w:p>
            <w:r/>
            <w:r>
              <w:t>3 j/h</w:t>
            </w:r>
          </w:p>
        </w:tc>
        <w:tc>
          <w:tcPr>
            <w:tcW w:type="dxa" w:w="2160"/>
          </w:tcPr>
          <w:p>
            <w:r/>
            <w:r>
              <w:t>1 800 €</w:t>
            </w:r>
          </w:p>
        </w:tc>
      </w:tr>
      <w:tr>
        <w:tc>
          <w:tcPr>
            <w:tcW w:type="dxa" w:w="2160"/>
          </w:tcPr>
          <w:p>
            <w:r/>
            <w:r>
              <w:t>Plugin Albert</w:t>
            </w:r>
          </w:p>
        </w:tc>
        <w:tc>
          <w:tcPr>
            <w:tcW w:type="dxa" w:w="2160"/>
          </w:tcPr>
          <w:p>
            <w:r/>
            <w:r>
              <w:t>~1 000</w:t>
            </w:r>
          </w:p>
        </w:tc>
        <w:tc>
          <w:tcPr>
            <w:tcW w:type="dxa" w:w="2160"/>
          </w:tcPr>
          <w:p>
            <w:r/>
            <w:r>
              <w:t>5 j/h</w:t>
            </w:r>
          </w:p>
        </w:tc>
        <w:tc>
          <w:tcPr>
            <w:tcW w:type="dxa" w:w="2160"/>
          </w:tcPr>
          <w:p>
            <w:r/>
            <w:r>
              <w:t>3 000 €</w:t>
            </w:r>
          </w:p>
        </w:tc>
      </w:tr>
      <w:tr>
        <w:tc>
          <w:tcPr>
            <w:tcW w:type="dxa" w:w="2160"/>
          </w:tcPr>
          <w:p>
            <w:r/>
            <w:r>
              <w:t>ExcelExit</w:t>
            </w:r>
          </w:p>
        </w:tc>
        <w:tc>
          <w:tcPr>
            <w:tcW w:type="dxa" w:w="2160"/>
          </w:tcPr>
          <w:p>
            <w:r/>
            <w:r>
              <w:t>—</w:t>
            </w:r>
          </w:p>
        </w:tc>
        <w:tc>
          <w:tcPr>
            <w:tcW w:type="dxa" w:w="2160"/>
          </w:tcPr>
          <w:p>
            <w:r/>
            <w:r>
              <w:t>à venir</w:t>
            </w:r>
          </w:p>
        </w:tc>
        <w:tc>
          <w:tcPr>
            <w:tcW w:type="dxa" w:w="2160"/>
          </w:tcPr>
          <w:p>
            <w:r/>
            <w:r>
              <w:t>à venir</w:t>
            </w:r>
          </w:p>
        </w:tc>
      </w:tr>
      <w:tr>
        <w:tc>
          <w:tcPr>
            <w:tcW w:type="dxa" w:w="2160"/>
          </w:tcPr>
          <w:p>
            <w:r/>
            <w:r>
              <w:rPr>
                <w:b/>
              </w:rPr>
              <w:t>TOTAL (hors ExcelExit)</w:t>
            </w:r>
          </w:p>
        </w:tc>
        <w:tc>
          <w:tcPr>
            <w:tcW w:type="dxa" w:w="2160"/>
          </w:tcPr>
          <w:p>
            <w:r/>
            <w:r>
              <w:rPr>
                <w:b/>
              </w:rPr>
              <w:t>~423 000</w:t>
            </w:r>
          </w:p>
        </w:tc>
        <w:tc>
          <w:tcPr>
            <w:tcW w:type="dxa" w:w="2160"/>
          </w:tcPr>
          <w:p>
            <w:r/>
            <w:r>
              <w:rPr>
                <w:b/>
              </w:rPr>
              <w:t>~1 173 j/h</w:t>
            </w:r>
          </w:p>
        </w:tc>
        <w:tc>
          <w:tcPr>
            <w:tcW w:type="dxa" w:w="2160"/>
          </w:tcPr>
          <w:p>
            <w:r/>
            <w:r>
              <w:rPr>
                <w:b/>
              </w:rPr>
              <w:t>~704 000 €</w:t>
            </w:r>
          </w:p>
        </w:tc>
      </w:tr>
    </w:tbl>
    <w:p>
      <w:pPr>
        <w:ind w:left="567"/>
      </w:pPr>
      <w:r>
        <w:rPr>
          <w:b/>
        </w:rPr>
        <w:t>Coût prestataire estimé</w:t>
      </w:r>
      <w:r>
        <w:t xml:space="preserve"> : ~704 000 € (~1 200 jours-homme, équipes de 1 à 4 développeurs) </w:t>
      </w:r>
      <w:r>
        <w:rPr>
          <w:b/>
        </w:rPr>
        <w:t>Coût vibe coding estimé</w:t>
      </w:r>
      <w:r>
        <w:t xml:space="preserve"> : ~85 000 € équivalent (~140 jours-homme, 1 agent + IA) </w:t>
      </w:r>
      <w:r>
        <w:rPr>
          <w:b/>
        </w:rPr>
        <w:t>Économie estimée</w:t>
      </w:r>
      <w:r>
        <w:t xml:space="preserve"> : ~620 000 €, soit </w:t>
      </w:r>
      <w:r>
        <w:rPr>
          <w:b/>
        </w:rPr>
        <w:t>88 %</w:t>
      </w:r>
      <w:r>
        <w:t xml:space="preserve"> du coût prestataire </w:t>
      </w:r>
      <w:r>
        <w:rPr>
          <w:i/>
        </w:rPr>
        <w:t>Note : ces estimations n'incluent pas les coûts de pilotage, contractualisation, réunions de suivi et recette qui majorent significativement le coût prestataire réel.</w:t>
      </w:r>
    </w:p>
    <w:p>
      <w:pPr>
        <w:pStyle w:val="Heading2"/>
      </w:pPr>
      <w:r>
        <w:t>5. Ce que le vibe coding change pour la communication</w:t>
      </w:r>
    </w:p>
    <w:p>
      <w:pPr>
        <w:pStyle w:val="Heading3"/>
      </w:pPr>
      <w:r>
        <w:t>5.1 De l'idée à l'outil en quelques jours</w:t>
      </w:r>
    </w:p>
    <w:p>
      <w:r>
        <w:t xml:space="preserve">Le principal levier pour une direction de la communication est la </w:t>
      </w:r>
      <w:r>
        <w:rPr>
          <w:b/>
        </w:rPr>
        <w:t>vélocité</w:t>
      </w:r>
      <w:r>
        <w:t xml:space="preserve">. Quand un besoin émerge — une consultation à habiller, un jeu de données à valoriser, un organigramme à produire — le vibe coding permet de passer de l'idée à un prototype fonctionnel en </w:t>
      </w:r>
      <w:r>
        <w:rPr>
          <w:b/>
        </w:rPr>
        <w:t>jours au lieu de semaines</w:t>
      </w:r>
      <w:r>
        <w:t>. Sans cahier des charges, sans marché public, sans allers-retours de spécifications.</w:t>
      </w:r>
    </w:p>
    <w:p>
      <w:pPr>
        <w:pStyle w:val="Heading3"/>
      </w:pPr>
      <w:r>
        <w:t>5.2 Maîtriser l'image numérique du ministère</w:t>
      </w:r>
    </w:p>
    <w:p>
      <w:r>
        <w:t xml:space="preserve">Avec </w:t>
      </w:r>
      <w:r>
        <w:rPr>
          <w:b/>
        </w:rPr>
        <w:t>Écosystème</w:t>
      </w:r>
      <w:r>
        <w:t xml:space="preserve">, la Direction de la Communication dispose d'une vision en temps réel de l'état de santé de tous les sites web ministériels. Un certificat qui expire, une page inaccessible, un site non conforme au DSFR : ces problèmes d'image sont </w:t>
      </w:r>
      <w:r>
        <w:rPr>
          <w:b/>
        </w:rPr>
        <w:t>détectés et signalés avant que les usagers ne les rencontrent</w:t>
      </w:r>
      <w:r>
        <w:t>.</w:t>
      </w:r>
    </w:p>
    <w:p>
      <w:pPr>
        <w:pStyle w:val="Heading3"/>
      </w:pPr>
      <w:r>
        <w:t>5.3 Enrichir le portail avec de la valeur d'usage</w:t>
      </w:r>
    </w:p>
    <w:p>
      <w:r>
        <w:t xml:space="preserve">Les comparateurs, la dataviz et les organigrammes ne sont pas de la technique : ce sont des </w:t>
      </w:r>
      <w:r>
        <w:rPr>
          <w:b/>
        </w:rPr>
        <w:t>contenus à forte valeur ajoutée</w:t>
      </w:r>
      <w:r>
        <w:t xml:space="preserve"> pour les citoyens. Chaque outil intégrable au portail est un levier de trafic, d'engagement et de perception positive du ministère.</w:t>
      </w:r>
    </w:p>
    <w:p>
      <w:pPr>
        <w:pStyle w:val="Heading3"/>
      </w:pPr>
      <w:r>
        <w:t>5.4 Cohérence de marque sur tous les supports</w:t>
      </w:r>
    </w:p>
    <w:p>
      <w:r>
        <w:t xml:space="preserve">Du thème LimeSurvey aux graphiques ChartsBuilder en passant par les organigrammes, tous les outils respectent nativement le </w:t>
      </w:r>
      <w:r>
        <w:rPr>
          <w:b/>
        </w:rPr>
        <w:t>DSFR</w:t>
      </w:r>
      <w:r>
        <w:t>. L'identité visuelle de l'État est portée de manière cohérente sur chaque point de contact numérique avec le citoyen.</w:t>
      </w:r>
    </w:p>
    <w:p>
      <w:pPr>
        <w:pStyle w:val="Heading3"/>
      </w:pPr>
      <w:r>
        <w:t>5.5 Souveraineté et sécurité</w:t>
      </w:r>
    </w:p>
    <w:p>
      <w:r>
        <w:t xml:space="preserve">Plusieurs outils intègrent </w:t>
      </w:r>
      <w:r>
        <w:rPr>
          <w:b/>
        </w:rPr>
        <w:t>Albert</w:t>
      </w:r>
      <w:r>
        <w:t xml:space="preserve">, l'IA souveraine d'Etalab, et se connectent exclusivement aux API publiques françaises. Le code reste sous contrôle complet de l'administration, hébergé sur GitHub et déployable sur </w:t>
      </w:r>
      <w:r>
        <w:rPr>
          <w:b/>
        </w:rPr>
        <w:t>infrastructure souveraine</w:t>
      </w:r>
      <w:r>
        <w:t>.</w:t>
      </w:r>
    </w:p>
    <w:p>
      <w:pPr>
        <w:pStyle w:val="Heading3"/>
      </w:pPr>
      <w:r>
        <w:t>5.6 L'IA ne remplace pas les compétences — elle débloque ce qui était impossible</w:t>
      </w:r>
    </w:p>
    <w:p>
      <w:pPr>
        <w:ind w:left="567"/>
      </w:pPr>
      <w:r>
        <w:t>Aucun de ces 16 projets n'aurait été réalisé sans l'IA. Non pas parce que les compétences manquent, mais parce que les circuits classiques rendent leur coût et leur délai disproportionnés par rapport au besoin.</w:t>
      </w:r>
    </w:p>
    <w:p>
      <w:r>
        <w:t xml:space="preserve">Il est essentiel de lever une ambiguïté : ces outils n'ont pas été produits par l'IA </w:t>
      </w:r>
      <w:r>
        <w:rPr>
          <w:b/>
        </w:rPr>
        <w:t>au détriment de développeurs humains</w:t>
      </w:r>
      <w:r>
        <w:t xml:space="preserve">. Ils n'auraient tout simplement </w:t>
      </w:r>
      <w:r>
        <w:rPr>
          <w:b/>
        </w:rPr>
        <w:t>jamais existé</w:t>
      </w:r>
      <w:r>
        <w:t xml:space="preserve"> autrement. Aucun responsable n'aurait lancé un marché public de 312 000 € pour une plateforme de monitoring, ni mobilisé 3 développeurs pendant 5 mois pour un générateur d'organigrammes ou un comparateur de tarifs bancaires. Ces besoins sont réels, mais leur rapport coût/bénéfice ne justifie pas une prestation classique.</w:t>
      </w:r>
    </w:p>
    <w:p>
      <w:r>
        <w:t xml:space="preserve">C'est précisément là que le vibe coding change la donne : il rend </w:t>
      </w:r>
      <w:r>
        <w:rPr>
          <w:b/>
        </w:rPr>
        <w:t>viable ce qui était déraisonnable</w:t>
      </w:r>
      <w:r>
        <w:t>. Un besoin ponctuel — habiller une consultation, visualiser un jeu de données, automatiser un processus du studio graphique — trouve sa réponse en quelques jours au lieu de plusieurs mois. L'outil peut être pérenne, ou il peut être jetable : peu importe, car son coût de production est devenu marginal.</w:t>
      </w:r>
    </w:p>
    <w:p>
      <w:r>
        <w:t xml:space="preserve">Dans le circuit classique, </w:t>
      </w:r>
      <w:r>
        <w:rPr>
          <w:b/>
        </w:rPr>
        <w:t>le temps joue contre le projet</w:t>
      </w:r>
      <w:r>
        <w:t xml:space="preserve"> : le temps de spécifier le besoin, de rédiger un cahier des charges, de passer un marché, de suivre le développement, de recetter, le contexte a souvent changé. L'urgence est passée, la réorganisation a eu lieu, le nouveau portail a été lancé. L'outil livré six mois plus tard ne correspond plus tout à fait au besoin initial.</w:t>
      </w:r>
    </w:p>
    <w:p>
      <w:r>
        <w:t xml:space="preserve">Le vibe coding </w:t>
      </w:r>
      <w:r>
        <w:rPr>
          <w:b/>
        </w:rPr>
        <w:t>inverse cette logique</w:t>
      </w:r>
      <w:r>
        <w:t xml:space="preserve"> : on répond au besoin quand il se présente, avec un outil calibré pour l'instant présent. Si le besoin évolue, on adapte l'outil en quelques heures. S'il disparaît, on passe à autre chose sans regret — le coût engagé reste dérisoire.</w:t>
      </w:r>
    </w:p>
    <w:p>
      <w:r>
        <w:t xml:space="preserve">C'est cette </w:t>
      </w:r>
      <w:r>
        <w:rPr>
          <w:b/>
        </w:rPr>
        <w:t>facilité de réalisation</w:t>
      </w:r>
      <w:r>
        <w:t xml:space="preserve"> qui est le véritable changement de paradigme. On ne parle pas de remplacer des prestataires ou des équipes internes : on parle de faire exister des outils qui, sans cette méthode, seraient restés à l'état d'idées dans un coin de tête — ou au mieux, de lignes dans un schéma directeur que personne n'aurait financé.</w:t>
      </w:r>
    </w:p>
    <w:p>
      <w:pPr>
        <w:pStyle w:val="Heading2"/>
      </w:pPr>
      <w:r>
        <w:t>6. Proposition : un Lab Vibe Coding pour le ministère</w:t>
      </w:r>
    </w:p>
    <w:p>
      <w:r>
        <w:t xml:space="preserve">Pour pérenniser ces acquis et démultiplier leur impact, nous proposons la création d'une mission dédiée </w:t>
      </w:r>
      <w:r>
        <w:rPr>
          <w:b/>
        </w:rPr>
        <w:t>« Lab Vibe Coding »</w:t>
      </w:r>
      <w:r>
        <w:t>.</w:t>
      </w:r>
    </w:p>
    <w:p>
      <w:pPr>
        <w:pStyle w:val="Heading3"/>
      </w:pPr>
      <w:r>
        <w:t>Ce que le Lab pourrait faire pour la communication</w:t>
      </w:r>
    </w:p>
    <w:p>
      <w:pPr>
        <w:pStyle w:val="ListBullet"/>
      </w:pPr>
      <w:r>
        <w:rPr>
          <w:b/>
        </w:rPr>
        <w:t>Prototypage rapide</w:t>
      </w:r>
      <w:r>
        <w:t xml:space="preserve"> — Un besoin de la com' identifié le lundi peut être démontré en prototype le vendredi : outil de consultation, dashboard d'audience, simulateur citoyen, infographie interactive.</w:t>
      </w:r>
    </w:p>
    <w:p>
      <w:pPr>
        <w:pStyle w:val="ListBullet"/>
      </w:pPr>
      <w:r>
        <w:rPr>
          <w:b/>
        </w:rPr>
        <w:t>Outils de pilotage</w:t>
      </w:r>
      <w:r>
        <w:t xml:space="preserve"> — Tableaux de bord, monitoring de l'écosystème web, suivi qualité des contenus, sans dépendance à un prestataire.</w:t>
      </w:r>
    </w:p>
    <w:p>
      <w:pPr>
        <w:pStyle w:val="ListBullet"/>
      </w:pPr>
      <w:r>
        <w:rPr>
          <w:b/>
        </w:rPr>
        <w:t>Contenus interactifs</w:t>
      </w:r>
      <w:r>
        <w:t xml:space="preserve"> — Dataviz, comparateurs, cartes, organigrammes : des formats engageants qui valorisent le portail et les données du ministère.</w:t>
      </w:r>
    </w:p>
    <w:p>
      <w:pPr>
        <w:pStyle w:val="ListBullet"/>
      </w:pPr>
      <w:r>
        <w:rPr>
          <w:b/>
        </w:rPr>
        <w:t>Composants réutilisables</w:t>
      </w:r>
      <w:r>
        <w:t xml:space="preserve"> — Bibliothèque DSFR (charts, thèmes, extensions) immédiatement déployable par toutes les équipes.</w:t>
      </w:r>
    </w:p>
    <w:p>
      <w:pPr>
        <w:pStyle w:val="Heading3"/>
      </w:pPr>
      <w:r>
        <w:t>Moyens envisagés</w:t>
      </w:r>
    </w:p>
    <w:p>
      <w:r>
        <w:t xml:space="preserve">Une équipe de </w:t>
      </w:r>
      <w:r>
        <w:rPr>
          <w:b/>
        </w:rPr>
        <w:t>1,5 à 3 ETP</w:t>
      </w:r>
      <w:r>
        <w:t xml:space="preserve"> (profils tech/produit), équipée d'abonnements aux outils d'IA générative, avec accès aux API publiques et à une infrastructure de déploiement. La première année, le Lab peut fonctionner avec </w:t>
      </w:r>
      <w:r>
        <w:rPr>
          <w:b/>
        </w:rPr>
        <w:t>1,5 ETP</w:t>
      </w:r>
      <w:r>
        <w:t xml:space="preserve"> en mobilisant deux ou trois agents déjà en poste qui consacreront d'un tiers à deux tiers de leur temps au sujet. </w:t>
      </w:r>
      <w:r>
        <w:rPr>
          <w:b/>
        </w:rPr>
        <w:t>Coût annuel estimé : 200 à 300 K€</w:t>
      </w:r>
      <w:r>
        <w:t xml:space="preserve"> tout compris — soit un tiers du coût de ce qui a déjà été produit en prestation équivalente.</w:t>
      </w:r>
    </w:p>
    <w:p>
      <w:pPr>
        <w:pStyle w:val="Heading3"/>
      </w:pPr>
      <w:r>
        <w:t>Indicateurs de succès</w:t>
      </w:r>
    </w:p>
    <w:p>
      <w:pPr>
        <w:pStyle w:val="ListBullet"/>
      </w:pPr>
      <w:r>
        <w:t>Nombre de prototypes livrés par trimestre</w:t>
      </w:r>
    </w:p>
    <w:p>
      <w:pPr>
        <w:pStyle w:val="ListBullet"/>
      </w:pPr>
      <w:r>
        <w:t>Taux de passage en production</w:t>
      </w:r>
    </w:p>
    <w:p>
      <w:pPr>
        <w:pStyle w:val="ListBullet"/>
      </w:pPr>
      <w:r>
        <w:t>Délai moyen idée-prototype</w:t>
      </w:r>
    </w:p>
    <w:p>
      <w:pPr>
        <w:pStyle w:val="ListBullet"/>
      </w:pPr>
      <w:r>
        <w:t>Économies réalisées par rapport à la prestation</w:t>
      </w:r>
    </w:p>
    <w:p>
      <w:pPr>
        <w:pStyle w:val="ListBullet"/>
      </w:pPr>
      <w:r>
        <w:t>Satisfaction des équipes communication et métier</w:t>
      </w:r>
    </w:p>
    <w:p>
      <w:pPr>
        <w:pStyle w:val="Heading2"/>
      </w:pPr>
      <w:r>
        <w:t>7. Cadre de gouvernance et prochaines étapes</w:t>
      </w:r>
    </w:p>
    <w:p>
      <w:r>
        <w:t xml:space="preserve">Le Vibe Lab s'est doté d'un </w:t>
      </w:r>
      <w:r>
        <w:rPr>
          <w:b/>
        </w:rPr>
        <w:t>cadre de gouvernance formalisé</w:t>
      </w:r>
      <w:r>
        <w:t xml:space="preserve"> qui accompagne la proposition de structuration :</w:t>
      </w:r>
    </w:p>
    <w:p>
      <w:pPr>
        <w:pStyle w:val="ListBullet"/>
      </w:pPr>
      <w:r>
        <w:t xml:space="preserve">Une </w:t>
      </w:r>
      <w:r>
        <w:rPr>
          <w:b/>
        </w:rPr>
        <w:t>fiche de gouvernance</w:t>
      </w:r>
      <w:r>
        <w:t xml:space="preserve"> : cycle de vie des projets en 6 phases, comité mensuel de priorisation, revue trimestrielle</w:t>
      </w:r>
    </w:p>
    <w:p>
      <w:pPr>
        <w:pStyle w:val="ListBullet"/>
      </w:pPr>
      <w:r>
        <w:t xml:space="preserve">Une </w:t>
      </w:r>
      <w:r>
        <w:rPr>
          <w:b/>
        </w:rPr>
        <w:t>grille d'évaluation objective</w:t>
      </w:r>
      <w:r>
        <w:t xml:space="preserve"> : 6 critères d'entrée, scoring sur 50 points</w:t>
      </w:r>
    </w:p>
    <w:p>
      <w:pPr>
        <w:pStyle w:val="ListBullet"/>
      </w:pPr>
      <w:r>
        <w:t xml:space="preserve">Une </w:t>
      </w:r>
      <w:r>
        <w:rPr>
          <w:b/>
        </w:rPr>
        <w:t>matrice des risques</w:t>
      </w:r>
      <w:r>
        <w:t xml:space="preserve"> : 8 risques identifiés, 0 résiduel critique</w:t>
      </w:r>
    </w:p>
    <w:p>
      <w:r>
        <w:t xml:space="preserve">L'articulation avec </w:t>
      </w:r>
      <w:r>
        <w:rPr>
          <w:b/>
        </w:rPr>
        <w:t>BercyHub</w:t>
      </w:r>
      <w:r>
        <w:t xml:space="preserve"> est formalisée : le Lab joue un rôle d'éclaireur sur données publiques, BercyHub industrialise sur données sensibles si nécessaire. Un point trimestriel structuré entre les deux équipes est prévu.</w:t>
      </w:r>
    </w:p>
    <w:p>
      <w:r>
        <w:t xml:space="preserve">Le premier projet du backlog élargi est </w:t>
      </w:r>
      <w:r>
        <w:rPr>
          <w:b/>
        </w:rPr>
        <w:t>ExcelExit</w:t>
      </w:r>
      <w:r>
        <w:t xml:space="preserve"> : la migration systématique des fichiers Excel critiques du ministère vers Grist (grist.numerique.gouv.fr), avec des interfaces DSFR générées par le Lab. Score de </w:t>
      </w:r>
      <w:r>
        <w:rPr>
          <w:b/>
        </w:rPr>
        <w:t>47/50</w:t>
      </w:r>
      <w:r>
        <w:t xml:space="preserve"> — le plus élevé de tous les projets évalués. ExcelExit peut devenir un outil de communication puissant : chaque direction qui voit son Excel critique transformé en mini-app web collaborative devient ambassadrice du Lab. Un </w:t>
      </w:r>
      <w:r>
        <w:rPr>
          <w:b/>
        </w:rPr>
        <w:t>plan de communication en 12 semaines</w:t>
      </w:r>
      <w:r>
        <w:t xml:space="preserve"> a été conçu pour structurer cette montée en visibilité.</w:t>
      </w:r>
    </w:p>
    <w:p>
      <w:pPr>
        <w:pStyle w:val="Heading2"/>
      </w:pPr>
      <w:r>
        <w:t>8. En résumé</w:t>
      </w:r>
    </w:p>
    <w:p>
      <w:pPr>
        <w:ind w:left="567"/>
      </w:pPr>
      <w:r>
        <w:rPr>
          <w:b/>
        </w:rPr>
        <w:t>16 outils numériques fonctionnels</w:t>
      </w:r>
      <w:r>
        <w:t xml:space="preserve">, tous orientés communication et visibilité. Un </w:t>
      </w:r>
      <w:r>
        <w:rPr>
          <w:b/>
        </w:rPr>
        <w:t>coût de revient 8 fois inférieur</w:t>
      </w:r>
      <w:r>
        <w:t xml:space="preserve"> à la prestation classique. Un </w:t>
      </w:r>
      <w:r>
        <w:rPr>
          <w:b/>
        </w:rPr>
        <w:t>accélérateur</w:t>
      </w:r>
      <w:r>
        <w:t xml:space="preserve"> pour répondre aux besoins de la communication ministérielle à la vitesse où ils se présentent.</w:t>
      </w:r>
    </w:p>
    <w:p>
      <w:r>
        <w:t xml:space="preserve">Le vibe coding n'est pas une mode technologique. C'est un </w:t>
      </w:r>
      <w:r>
        <w:rPr>
          <w:b/>
        </w:rPr>
        <w:t>multiplicateur de capacités</w:t>
      </w:r>
      <w:r>
        <w:t xml:space="preserve"> qui permet à un agent public qui connaît les métiers du ministère de produire, en quelques jours, des outils que les circuits classiques mettraient des mois à livrer.</w:t>
      </w:r>
    </w:p>
    <w:p>
      <w:r>
        <w:t xml:space="preserve">La Direction de la Communication est la </w:t>
      </w:r>
      <w:r>
        <w:rPr>
          <w:b/>
        </w:rPr>
        <w:t>première bénéficiaire</w:t>
      </w:r>
      <w:r>
        <w:t xml:space="preserve"> de cette capacité : gouvernance des sites, connaissance fine du portail, cohérence de marque, contenus interactifs, valorisation des données publiques. Soutenir la création du Lab Vibe Coding, c'est investir dans un outil au service direct de la stratégie de communication du ministère.</w:t>
      </w:r>
    </w:p>
    <w:p>
      <w:pPr>
        <w:pStyle w:val="Heading2"/>
      </w:pPr>
      <w:r>
        <w:t>Annexe — Dépôts GitHub</w:t>
      </w:r>
    </w:p>
    <w:p>
      <w:pPr>
        <w:pStyle w:val="ListBullet"/>
      </w:pPr>
      <w:r>
        <w:rPr>
          <w:b/>
        </w:rPr>
        <w:t>Écosystème (G3)</w:t>
      </w:r>
      <w:r>
        <w:t xml:space="preserve"> : https://github.com/bmatge/g3</w:t>
      </w:r>
    </w:p>
    <w:p>
      <w:pPr>
        <w:pStyle w:val="ListBullet"/>
      </w:pPr>
      <w:r>
        <w:rPr>
          <w:b/>
        </w:rPr>
        <w:t>Portail Eco Browser</w:t>
      </w:r>
      <w:r>
        <w:t xml:space="preserve"> : https://github.com/bmatge/portail-eco-browser</w:t>
      </w:r>
    </w:p>
    <w:p>
      <w:pPr>
        <w:pStyle w:val="ListBullet"/>
      </w:pPr>
      <w:r>
        <w:rPr>
          <w:b/>
        </w:rPr>
        <w:t>ChartsBuilder (gouv-widgets)</w:t>
      </w:r>
      <w:r>
        <w:t xml:space="preserve"> : https://github.com/bmatge/gouv-widgets</w:t>
      </w:r>
    </w:p>
    <w:p>
      <w:pPr>
        <w:pStyle w:val="ListBullet"/>
      </w:pPr>
      <w:r>
        <w:rPr>
          <w:b/>
        </w:rPr>
        <w:t>LimeSurvey DSFR</w:t>
      </w:r>
      <w:r>
        <w:t xml:space="preserve"> : https://github.com/bmatge/limesurvey-theme-dsfr</w:t>
      </w:r>
    </w:p>
    <w:p>
      <w:pPr>
        <w:pStyle w:val="ListBullet"/>
      </w:pPr>
      <w:r>
        <w:rPr>
          <w:b/>
        </w:rPr>
        <w:t>Organigrammes</w:t>
      </w:r>
      <w:r>
        <w:t xml:space="preserve"> : https://github.com/bmatge/org-chart-service-public</w:t>
      </w:r>
    </w:p>
    <w:p>
      <w:pPr>
        <w:pStyle w:val="ListBullet"/>
      </w:pPr>
      <w:r>
        <w:rPr>
          <w:b/>
        </w:rPr>
        <w:t>Prix Contrôle Technique</w:t>
      </w:r>
      <w:r>
        <w:t xml:space="preserve"> : https://github.com/bmatge/prix-controle-technique</w:t>
      </w:r>
    </w:p>
    <w:p>
      <w:pPr>
        <w:pStyle w:val="ListBullet"/>
      </w:pPr>
      <w:r>
        <w:rPr>
          <w:b/>
        </w:rPr>
        <w:t>Tarifs Bancaires</w:t>
      </w:r>
      <w:r>
        <w:t xml:space="preserve"> : https://github.com/bmatge/tarifs-bancaires</w:t>
      </w:r>
    </w:p>
    <w:p>
      <w:pPr>
        <w:pStyle w:val="ListBullet"/>
      </w:pPr>
      <w:r>
        <w:rPr>
          <w:b/>
        </w:rPr>
        <w:t>LeFouineur</w:t>
      </w:r>
      <w:r>
        <w:t xml:space="preserve"> : https://github.com/bmatge/eco-alert-bo</w:t>
      </w:r>
    </w:p>
    <w:p>
      <w:pPr>
        <w:pStyle w:val="ListBullet"/>
      </w:pPr>
      <w:r>
        <w:rPr>
          <w:b/>
        </w:rPr>
        <w:t>Site vitrine Vibe Lab</w:t>
      </w:r>
      <w:r>
        <w:t xml:space="preserve"> : https://github.com/bmatge/vibe-lab-bercy</w:t>
      </w:r>
    </w:p>
    <w:p>
      <w:pPr>
        <w:pStyle w:val="ListBullet"/>
      </w:pPr>
      <w:r>
        <w:rPr>
          <w:b/>
        </w:rPr>
        <w:t>POC portail conso</w:t>
      </w:r>
      <w:r>
        <w:t xml:space="preserve"> : https://github.com/bmatge/portail-conso-corpus</w:t>
      </w:r>
    </w:p>
    <w:p>
      <w:pPr>
        <w:pStyle w:val="ListBullet"/>
      </w:pPr>
      <w:r>
        <w:rPr>
          <w:b/>
        </w:rPr>
        <w:t>Modèle maturité communication</w:t>
      </w:r>
      <w:r>
        <w:t xml:space="preserve"> : https://github.com/bmatge/maturity-model</w:t>
      </w:r>
    </w:p>
    <w:p>
      <w:pPr>
        <w:pStyle w:val="ListBullet"/>
      </w:pPr>
      <w:r>
        <w:rPr>
          <w:b/>
        </w:rPr>
        <w:t>Grist Form DSFR</w:t>
      </w:r>
      <w:r>
        <w:t xml:space="preserve"> : https://github.com/bmatge/grist-dsfr-form</w:t>
      </w:r>
    </w:p>
    <w:p>
      <w:pPr>
        <w:pStyle w:val="ListBullet"/>
      </w:pPr>
      <w:r>
        <w:rPr>
          <w:b/>
        </w:rPr>
        <w:t>Archinalyzer</w:t>
      </w:r>
      <w:r>
        <w:t xml:space="preserve"> : https://github.com/bmatge/archinalyzer</w:t>
      </w:r>
    </w:p>
    <w:p>
      <w:pPr>
        <w:pStyle w:val="ListBullet"/>
      </w:pPr>
      <w:r>
        <w:rPr>
          <w:b/>
        </w:rPr>
        <w:t>Plugin DSFR email</w:t>
      </w:r>
      <w:r>
        <w:t xml:space="preserve"> : https://github.com/bmatge/limesurvey-email-dsfr</w:t>
      </w:r>
    </w:p>
    <w:p>
      <w:pPr>
        <w:pStyle w:val="ListBullet"/>
      </w:pPr>
      <w:r>
        <w:rPr>
          <w:b/>
        </w:rPr>
        <w:t>Plugin Albert</w:t>
      </w:r>
      <w:r>
        <w:t xml:space="preserve"> : https://github.com/bmatge/limesurvey-conversation-albert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Marianne" w:hAnsi="Mariann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