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Rapport MIWEB</w:t>
      </w:r>
    </w:p>
    <w:p>
      <w:pPr>
        <w:pStyle w:val="Heading1"/>
      </w:pPr>
      <w:r>
        <w:t>Note d'opportunité : de l'ingénierie du web à l'intelligence du web</w:t>
      </w:r>
    </w:p>
    <w:p>
      <w:r>
        <w:rPr>
          <w:b/>
        </w:rPr>
        <w:t>Le vibe coding comme levier de transformation du design, de l'UX et de l'accessibilité ministériels</w:t>
      </w:r>
    </w:p>
    <w:p>
      <w:r>
        <w:t>Bertrand Matge — MIWEB (Mission Ingénierie du Web) — Février 2026</w:t>
      </w:r>
    </w:p>
    <w:p>
      <w:pPr>
        <w:ind w:left="567"/>
      </w:pPr>
      <w:r>
        <w:t xml:space="preserve">En 6 mois, le vibe coding a permis de produire 16 outils numériques couvrant les trois dimensions du design ministériel : </w:t>
      </w:r>
      <w:r>
        <w:rPr>
          <w:b/>
        </w:rPr>
        <w:t>design visuel</w:t>
      </w:r>
      <w:r>
        <w:t xml:space="preserve">, </w:t>
      </w:r>
      <w:r>
        <w:rPr>
          <w:b/>
        </w:rPr>
        <w:t>design de service</w:t>
      </w:r>
      <w:r>
        <w:t xml:space="preserve"> et </w:t>
      </w:r>
      <w:r>
        <w:rPr>
          <w:b/>
        </w:rPr>
        <w:t>design éditorial</w:t>
      </w:r>
      <w:r>
        <w:t>. Cette note propose d'en faire un levier structurant pour la mission, en élargissant son périmètre de l'ingénierie du web à l'intelligence du web : prototypage rapide, tests utilisateurs sur maquettes réelles, automatisation de l'accessibilité, et recherche UX augmentée par l'IA.</w:t>
      </w:r>
    </w:p>
    <w:tbl>
      <w:tblPr>
        <w:tblStyle w:val="TableGrid"/>
        <w:tblW w:type="auto" w:w="0"/>
        <w:tblLook w:firstColumn="1" w:firstRow="1" w:lastColumn="0" w:lastRow="0" w:noHBand="0" w:noVBand="1" w:val="04A0"/>
      </w:tblPr>
      <w:tblGrid>
        <w:gridCol w:w="2880"/>
        <w:gridCol w:w="2880"/>
        <w:gridCol w:w="2880"/>
      </w:tblGrid>
      <w:tr>
        <w:tc>
          <w:tcPr>
            <w:tcW w:type="dxa" w:w="2880"/>
          </w:tcPr>
          <w:p>
            <w:r/>
            <w:r>
              <w:t>16 outils produits en 6 mois, par 1 agent</w:t>
            </w:r>
          </w:p>
        </w:tc>
        <w:tc>
          <w:tcPr>
            <w:tcW w:type="dxa" w:w="2880"/>
          </w:tcPr>
          <w:p>
            <w:r/>
            <w:r>
              <w:t>88 % d'économie vs. prestation classique</w:t>
            </w:r>
          </w:p>
        </w:tc>
        <w:tc>
          <w:tcPr>
            <w:tcW w:type="dxa" w:w="2880"/>
          </w:tcPr>
          <w:p>
            <w:r/>
            <w:r>
              <w:t>3 dimensions du design : visuel · service · éditorial</w:t>
            </w:r>
          </w:p>
        </w:tc>
      </w:tr>
    </w:tbl>
    <w:p>
      <w:pPr>
        <w:pStyle w:val="Heading2"/>
      </w:pPr>
      <w:r>
        <w:t>1. Ce que le vibe coding change pour la mission</w:t>
      </w:r>
    </w:p>
    <w:p>
      <w:r>
        <w:t xml:space="preserve">Le </w:t>
      </w:r>
      <w:r>
        <w:rPr>
          <w:b/>
        </w:rPr>
        <w:t>vibe coding</w:t>
      </w:r>
      <w:r>
        <w:t xml:space="preserve"> — développement assisté par IA générative — a permis en 6 mois de produire </w:t>
      </w:r>
      <w:r>
        <w:rPr>
          <w:b/>
        </w:rPr>
        <w:t>16 outils numériques fonctionnels</w:t>
      </w:r>
      <w:r>
        <w:t xml:space="preserve"> représentant l'équivalent d'environ </w:t>
      </w:r>
      <w:r>
        <w:rPr>
          <w:b/>
        </w:rPr>
        <w:t>700 000 € de prestation</w:t>
      </w:r>
      <w:r>
        <w:t>. Ces chiffres sont détaillés dans les notes parallèles destinées au chef du service du numérique et à la direction de la communication.</w:t>
      </w:r>
    </w:p>
    <w:p>
      <w:r>
        <w:t xml:space="preserve">La présente note se concentre sur ce que ces résultats signifient concrètement pour la MIWEB — et sur l'opportunité qu'ils représentent pour faire évoluer le </w:t>
      </w:r>
      <w:r>
        <w:rPr>
          <w:b/>
        </w:rPr>
        <w:t>positionnement</w:t>
      </w:r>
      <w:r>
        <w:t xml:space="preserve">, les </w:t>
      </w:r>
      <w:r>
        <w:rPr>
          <w:b/>
        </w:rPr>
        <w:t>capacités</w:t>
      </w:r>
      <w:r>
        <w:t xml:space="preserve"> et la </w:t>
      </w:r>
      <w:r>
        <w:rPr>
          <w:b/>
        </w:rPr>
        <w:t>visibilité</w:t>
      </w:r>
      <w:r>
        <w:t xml:space="preserve"> de la mission.</w:t>
      </w:r>
    </w:p>
    <w:p>
      <w:pPr>
        <w:pStyle w:val="Heading2"/>
      </w:pPr>
      <w:r>
        <w:t>2. Trois dimensions du design, déjà couvertes</w:t>
      </w:r>
    </w:p>
    <w:p>
      <w:r>
        <w:t xml:space="preserve">Les 16 outils produits ne sont pas des exercices techniques. Ils couvrent déjà les </w:t>
      </w:r>
      <w:r>
        <w:rPr>
          <w:b/>
        </w:rPr>
        <w:t>trois axes du design ministériel</w:t>
      </w:r>
      <w:r>
        <w:t>, ce qui préfigure naturellement ce que pourrait produire un Vibe Lab structuré.</w:t>
      </w:r>
    </w:p>
    <w:p>
      <w:r>
        <w:t xml:space="preserve">Le point commun entre ces outils : ils renforcent chacun la capacité de la mission à </w:t>
      </w:r>
      <w:r>
        <w:rPr>
          <w:b/>
        </w:rPr>
        <w:t>produire</w:t>
      </w:r>
      <w:r>
        <w:t xml:space="preserve">, </w:t>
      </w:r>
      <w:r>
        <w:rPr>
          <w:b/>
        </w:rPr>
        <w:t>piloter</w:t>
      </w:r>
      <w:r>
        <w:t xml:space="preserve"> et </w:t>
      </w:r>
      <w:r>
        <w:rPr>
          <w:b/>
        </w:rPr>
        <w:t>améliorer</w:t>
      </w:r>
      <w:r>
        <w:t xml:space="preserve"> l'expérience numérique du ministère. C'est exactement le périmètre d'une mission de design, élargi par la puissance de l'IA.</w:t>
      </w:r>
    </w:p>
    <w:tbl>
      <w:tblPr>
        <w:tblStyle w:val="TableGrid"/>
        <w:tblW w:type="auto" w:w="0"/>
        <w:tblLook w:firstColumn="1" w:firstRow="1" w:lastColumn="0" w:lastRow="0" w:noHBand="0" w:noVBand="1" w:val="04A0"/>
      </w:tblPr>
      <w:tblGrid>
        <w:gridCol w:w="2880"/>
        <w:gridCol w:w="2880"/>
        <w:gridCol w:w="2880"/>
      </w:tblGrid>
      <w:tr>
        <w:tc>
          <w:tcPr>
            <w:tcW w:type="dxa" w:w="2880"/>
          </w:tcPr>
          <w:p>
            <w:r/>
            <w:r>
              <w:t>Design visuel</w:t>
            </w:r>
          </w:p>
        </w:tc>
        <w:tc>
          <w:tcPr>
            <w:tcW w:type="dxa" w:w="2880"/>
          </w:tcPr>
          <w:p>
            <w:r/>
            <w:r>
              <w:t>Design de service</w:t>
            </w:r>
          </w:p>
        </w:tc>
        <w:tc>
          <w:tcPr>
            <w:tcW w:type="dxa" w:w="2880"/>
          </w:tcPr>
          <w:p>
            <w:r/>
            <w:r>
              <w:t>Design éditorial</w:t>
            </w:r>
          </w:p>
        </w:tc>
      </w:tr>
      <w:tr>
        <w:tc>
          <w:tcPr>
            <w:tcW w:type="dxa" w:w="2880"/>
          </w:tcPr>
          <w:p>
            <w:r/>
            <w:r>
              <w:rPr>
                <w:b/>
              </w:rPr>
              <w:t>ChartsBuilder</w:t>
            </w:r>
            <w:r>
              <w:t xml:space="preserve"> (dataviz DSFR)</w:t>
            </w:r>
          </w:p>
        </w:tc>
        <w:tc>
          <w:tcPr>
            <w:tcW w:type="dxa" w:w="2880"/>
          </w:tcPr>
          <w:p>
            <w:r/>
            <w:r>
              <w:rPr>
                <w:b/>
              </w:rPr>
              <w:t>Comparateurs</w:t>
            </w:r>
            <w:r>
              <w:t xml:space="preserve"> grand public</w:t>
            </w:r>
          </w:p>
        </w:tc>
        <w:tc>
          <w:tcPr>
            <w:tcW w:type="dxa" w:w="2880"/>
          </w:tcPr>
          <w:p>
            <w:r/>
            <w:r>
              <w:rPr>
                <w:b/>
              </w:rPr>
              <w:t>Portail Eco Browser</w:t>
            </w:r>
          </w:p>
        </w:tc>
      </w:tr>
      <w:tr>
        <w:tc>
          <w:tcPr>
            <w:tcW w:type="dxa" w:w="2880"/>
          </w:tcPr>
          <w:p>
            <w:r/>
            <w:r>
              <w:rPr>
                <w:b/>
              </w:rPr>
              <w:t>Thème LimeSurvey</w:t>
            </w:r>
            <w:r>
              <w:t xml:space="preserve"> DSFR</w:t>
            </w:r>
          </w:p>
        </w:tc>
        <w:tc>
          <w:tcPr>
            <w:tcW w:type="dxa" w:w="2880"/>
          </w:tcPr>
          <w:p>
            <w:r/>
            <w:r>
              <w:rPr>
                <w:b/>
              </w:rPr>
              <w:t>Écosystème</w:t>
            </w:r>
            <w:r>
              <w:t xml:space="preserve"> (gouvernance web)</w:t>
            </w:r>
          </w:p>
        </w:tc>
        <w:tc>
          <w:tcPr>
            <w:tcW w:type="dxa" w:w="2880"/>
          </w:tcPr>
          <w:p>
            <w:r/>
            <w:r>
              <w:rPr>
                <w:b/>
              </w:rPr>
              <w:t>LeFouineur</w:t>
            </w:r>
            <w:r>
              <w:t xml:space="preserve"> (contributeurs)</w:t>
            </w:r>
          </w:p>
        </w:tc>
      </w:tr>
      <w:tr>
        <w:tc>
          <w:tcPr>
            <w:tcW w:type="dxa" w:w="2880"/>
          </w:tcPr>
          <w:p>
            <w:r/>
            <w:r>
              <w:rPr>
                <w:b/>
              </w:rPr>
              <w:t>Organigrammes</w:t>
            </w:r>
            <w:r>
              <w:t xml:space="preserve"> service public</w:t>
            </w:r>
          </w:p>
        </w:tc>
        <w:tc>
          <w:tcPr>
            <w:tcW w:type="dxa" w:w="2880"/>
          </w:tcPr>
          <w:p>
            <w:r/>
            <w:r>
              <w:rPr>
                <w:b/>
              </w:rPr>
              <w:t>LeFouineur</w:t>
            </w:r>
            <w:r>
              <w:t xml:space="preserve"> (qualité web)</w:t>
            </w:r>
          </w:p>
        </w:tc>
        <w:tc>
          <w:tcPr>
            <w:tcW w:type="dxa" w:w="2880"/>
          </w:tcPr>
          <w:p>
            <w:r/>
            <w:r>
              <w:rPr>
                <w:b/>
              </w:rPr>
              <w:t>ChartsBuilder</w:t>
            </w:r>
            <w:r>
              <w:t xml:space="preserve"> (rédacteurs)</w:t>
            </w:r>
          </w:p>
        </w:tc>
      </w:tr>
      <w:tr>
        <w:tc>
          <w:tcPr>
            <w:tcW w:type="dxa" w:w="2880"/>
          </w:tcPr>
          <w:p>
            <w:r/>
            <w:r>
              <w:rPr>
                <w:b/>
              </w:rPr>
              <w:t>Grist Form DSFR</w:t>
            </w:r>
            <w:r>
              <w:t xml:space="preserve"> (formulaires)</w:t>
            </w:r>
          </w:p>
        </w:tc>
        <w:tc>
          <w:tcPr>
            <w:tcW w:type="dxa" w:w="2880"/>
          </w:tcPr>
          <w:p>
            <w:r/>
            <w:r>
              <w:rPr>
                <w:b/>
              </w:rPr>
              <w:t>POC portail conso</w:t>
            </w:r>
            <w:r>
              <w:t xml:space="preserve"> (DGCCRF)</w:t>
            </w:r>
          </w:p>
        </w:tc>
        <w:tc>
          <w:tcPr>
            <w:tcW w:type="dxa" w:w="2880"/>
          </w:tcPr>
          <w:p>
            <w:r/>
            <w:r>
              <w:rPr>
                <w:b/>
              </w:rPr>
              <w:t>Archinalyzer</w:t>
            </w:r>
            <w:r>
              <w:t xml:space="preserve"> (archivage web)</w:t>
            </w:r>
          </w:p>
        </w:tc>
      </w:tr>
      <w:tr>
        <w:tc>
          <w:tcPr>
            <w:tcW w:type="dxa" w:w="2880"/>
          </w:tcPr>
          <w:p>
            <w:r/>
            <w:r>
              <w:rPr>
                <w:b/>
              </w:rPr>
              <w:t>Modèle de maturité</w:t>
            </w:r>
            <w:r>
              <w:t xml:space="preserve"> (radar comm.)</w:t>
            </w:r>
          </w:p>
        </w:tc>
        <w:tc>
          <w:tcPr>
            <w:tcW w:type="dxa" w:w="2880"/>
          </w:tcPr>
          <w:p>
            <w:r/>
            <w:r>
              <w:rPr>
                <w:b/>
              </w:rPr>
              <w:t>Site vitrine Vibe Lab</w:t>
            </w:r>
            <w:r>
              <w:t xml:space="preserve"> (pilotage)</w:t>
            </w:r>
          </w:p>
        </w:tc>
        <w:tc>
          <w:tcPr>
            <w:tcW w:type="dxa" w:w="2880"/>
          </w:tcPr>
          <w:p>
            <w:r/>
            <w:r>
              <w:rPr>
                <w:b/>
              </w:rPr>
              <w:t>Plugin Albert</w:t>
            </w:r>
            <w:r>
              <w:t xml:space="preserve"> (IA dans les enquêtes)</w:t>
            </w:r>
          </w:p>
        </w:tc>
      </w:tr>
      <w:tr>
        <w:tc>
          <w:tcPr>
            <w:tcW w:type="dxa" w:w="2880"/>
          </w:tcPr>
          <w:p>
            <w:r/>
            <w:r>
              <w:t>Cohérence de marque sur tous les supports</w:t>
            </w:r>
          </w:p>
        </w:tc>
        <w:tc>
          <w:tcPr>
            <w:tcW w:type="dxa" w:w="2880"/>
          </w:tcPr>
          <w:p>
            <w:r/>
            <w:r>
              <w:t>Parcours utilisateur, monitoring, outils métier</w:t>
            </w:r>
          </w:p>
        </w:tc>
        <w:tc>
          <w:tcPr>
            <w:tcW w:type="dxa" w:w="2880"/>
          </w:tcPr>
          <w:p>
            <w:r/>
            <w:r>
              <w:t>Connaissance du contenu, qualité éditoriale, dataviz</w:t>
            </w:r>
          </w:p>
        </w:tc>
      </w:tr>
    </w:tbl>
    <w:p>
      <w:pPr>
        <w:pStyle w:val="Heading2"/>
      </w:pPr>
      <w:r>
        <w:t>3. Prototyper sur du réel, pas sur du Figma</w:t>
      </w:r>
    </w:p>
    <w:p>
      <w:r>
        <w:t>Aujourd'hui, le processus de conception classique passe par des maquettes (Figma, XD), puis une spécification, puis un développement, puis des allers-retours entre le design et le dev. Le prototype interactif, quand il existe, reste une simulation : il ne fonctionne pas avec de vraies données, ne respecte pas les contraintes techniques réelles, et ne peut pas être déployé.</w:t>
      </w:r>
    </w:p>
    <w:p>
      <w:r>
        <w:t xml:space="preserve">Le vibe coding change radicalement cette équation. En quelques jours, on produit un </w:t>
      </w:r>
      <w:r>
        <w:rPr>
          <w:b/>
        </w:rPr>
        <w:t>prototype qui fonctionne réellement</w:t>
      </w:r>
      <w:r>
        <w:t xml:space="preserve"> : connecté aux vraies API, affichant de vraies données, navigable, responsive, conforme DSFR. Ce prototype peut être mis en ligne immédiatement et testé par de vrais utilisateurs.</w:t>
      </w:r>
    </w:p>
    <w:p>
      <w:pPr>
        <w:ind w:left="567"/>
      </w:pPr>
      <w:r>
        <w:t xml:space="preserve">Le vibe coding ne produit pas des maquettes statiques : il produit des </w:t>
      </w:r>
      <w:r>
        <w:rPr>
          <w:b/>
        </w:rPr>
        <w:t>prototypes fonctionnels</w:t>
      </w:r>
      <w:r>
        <w:t>. L'écart entre « ce qu'on montre » et « ce qui sera livré » disparaît.</w:t>
      </w:r>
    </w:p>
    <w:p>
      <w:pPr>
        <w:pStyle w:val="Heading3"/>
      </w:pPr>
      <w:r>
        <w:t>Tests utilisateurs</w:t>
      </w:r>
    </w:p>
    <w:tbl>
      <w:tblPr>
        <w:tblStyle w:val="TableGrid"/>
        <w:tblW w:type="auto" w:w="0"/>
        <w:tblLook w:firstColumn="1" w:firstRow="1" w:lastColumn="0" w:lastRow="0" w:noHBand="0" w:noVBand="1" w:val="04A0"/>
      </w:tblPr>
      <w:tblGrid>
        <w:gridCol w:w="4320"/>
        <w:gridCol w:w="4320"/>
      </w:tblGrid>
      <w:tr>
        <w:tc>
          <w:tcPr>
            <w:tcW w:type="dxa" w:w="4320"/>
          </w:tcPr>
          <w:p>
            <w:r/>
            <w:r>
              <w:t>Aujourd'hui</w:t>
            </w:r>
          </w:p>
        </w:tc>
        <w:tc>
          <w:tcPr>
            <w:tcW w:type="dxa" w:w="4320"/>
          </w:tcPr>
          <w:p>
            <w:r/>
            <w:r>
              <w:t>Avec le Vibe Lab</w:t>
            </w:r>
          </w:p>
        </w:tc>
      </w:tr>
      <w:tr>
        <w:tc>
          <w:tcPr>
            <w:tcW w:type="dxa" w:w="4320"/>
          </w:tcPr>
          <w:p>
            <w:r/>
            <w:r>
              <w:t>On teste sur maquette Figma. Les retours portent sur l'apparence, rarement sur l'usage réel. Le décalage entre la maquette et le produit final génère des surprises et des reprises coûteuses.</w:t>
            </w:r>
          </w:p>
        </w:tc>
        <w:tc>
          <w:tcPr>
            <w:tcW w:type="dxa" w:w="4320"/>
          </w:tcPr>
          <w:p>
            <w:r/>
            <w:r>
              <w:t xml:space="preserve">On teste sur un </w:t>
            </w:r>
            <w:r>
              <w:rPr>
                <w:b/>
              </w:rPr>
              <w:t>prototype fonctionnel</w:t>
            </w:r>
            <w:r>
              <w:t xml:space="preserve"> branché sur de vraies données. Les retours portent sur l'expérience réelle. Ce qui est validé en test est ce qui sera livré — ou très proche.</w:t>
            </w:r>
          </w:p>
        </w:tc>
      </w:tr>
    </w:tbl>
    <w:p>
      <w:pPr>
        <w:pStyle w:val="Heading3"/>
      </w:pPr>
      <w:r>
        <w:t>Maquettes et alignement visuel</w:t>
      </w:r>
    </w:p>
    <w:tbl>
      <w:tblPr>
        <w:tblStyle w:val="TableGrid"/>
        <w:tblW w:type="auto" w:w="0"/>
        <w:tblLook w:firstColumn="1" w:firstRow="1" w:lastColumn="0" w:lastRow="0" w:noHBand="0" w:noVBand="1" w:val="04A0"/>
      </w:tblPr>
      <w:tblGrid>
        <w:gridCol w:w="4320"/>
        <w:gridCol w:w="4320"/>
      </w:tblGrid>
      <w:tr>
        <w:tc>
          <w:tcPr>
            <w:tcW w:type="dxa" w:w="4320"/>
          </w:tcPr>
          <w:p>
            <w:r/>
            <w:r>
              <w:t>Aujourd'hui</w:t>
            </w:r>
          </w:p>
        </w:tc>
        <w:tc>
          <w:tcPr>
            <w:tcW w:type="dxa" w:w="4320"/>
          </w:tcPr>
          <w:p>
            <w:r/>
            <w:r>
              <w:t>Avec le Vibe Lab</w:t>
            </w:r>
          </w:p>
        </w:tc>
      </w:tr>
      <w:tr>
        <w:tc>
          <w:tcPr>
            <w:tcW w:type="dxa" w:w="4320"/>
          </w:tcPr>
          <w:p>
            <w:r/>
            <w:r>
              <w:t>Un site ou un outil a un design désuet. Le refaire nécessite un marché, des specs, du développement. On reporte, on priorise autre chose, le site reste tel quel.</w:t>
            </w:r>
          </w:p>
        </w:tc>
        <w:tc>
          <w:tcPr>
            <w:tcW w:type="dxa" w:w="4320"/>
          </w:tcPr>
          <w:p>
            <w:r/>
            <w:r>
              <w:t xml:space="preserve">Le Vibe Lab produit en quelques jours une version alignée sur le </w:t>
            </w:r>
            <w:r>
              <w:rPr>
                <w:b/>
              </w:rPr>
              <w:t>DSFR courant</w:t>
            </w:r>
            <w:r>
              <w:t>. Si la direction valide, on industrialise. Sinon, le coût engagé est dérisoire.</w:t>
            </w:r>
          </w:p>
        </w:tc>
      </w:tr>
    </w:tbl>
    <w:p>
      <w:pPr>
        <w:pStyle w:val="Heading3"/>
      </w:pPr>
      <w:r>
        <w:t>Itération rapide</w:t>
      </w:r>
    </w:p>
    <w:tbl>
      <w:tblPr>
        <w:tblStyle w:val="TableGrid"/>
        <w:tblW w:type="auto" w:w="0"/>
        <w:tblLook w:firstColumn="1" w:firstRow="1" w:lastColumn="0" w:lastRow="0" w:noHBand="0" w:noVBand="1" w:val="04A0"/>
      </w:tblPr>
      <w:tblGrid>
        <w:gridCol w:w="4320"/>
        <w:gridCol w:w="4320"/>
      </w:tblGrid>
      <w:tr>
        <w:tc>
          <w:tcPr>
            <w:tcW w:type="dxa" w:w="4320"/>
          </w:tcPr>
          <w:p>
            <w:r/>
            <w:r>
              <w:t>Aujourd'hui</w:t>
            </w:r>
          </w:p>
        </w:tc>
        <w:tc>
          <w:tcPr>
            <w:tcW w:type="dxa" w:w="4320"/>
          </w:tcPr>
          <w:p>
            <w:r/>
            <w:r>
              <w:t>Avec le Vibe Lab</w:t>
            </w:r>
          </w:p>
        </w:tc>
      </w:tr>
      <w:tr>
        <w:tc>
          <w:tcPr>
            <w:tcW w:type="dxa" w:w="4320"/>
          </w:tcPr>
          <w:p>
            <w:r/>
            <w:r>
              <w:t>Chaque modification passe par un cycle spécification → développement → recette. Plusieurs semaines pour un changement parfois mineur.</w:t>
            </w:r>
          </w:p>
        </w:tc>
        <w:tc>
          <w:tcPr>
            <w:tcW w:type="dxa" w:w="4320"/>
          </w:tcPr>
          <w:p>
            <w:r/>
            <w:r>
              <w:t xml:space="preserve">On modifie le prototype en quelques heures, on reteste, on itère. Le design se fait </w:t>
            </w:r>
            <w:r>
              <w:rPr>
                <w:b/>
              </w:rPr>
              <w:t>en continu</w:t>
            </w:r>
            <w:r>
              <w:t>, pas en jalons.</w:t>
            </w:r>
          </w:p>
        </w:tc>
      </w:tr>
    </w:tbl>
    <w:p>
      <w:pPr>
        <w:pStyle w:val="Heading2"/>
      </w:pPr>
      <w:r>
        <w:t>4. L'accessibilité : un chantier taillé pour l'IA</w:t>
      </w:r>
    </w:p>
    <w:p>
      <w:r>
        <w:t>Le ministère gère des dizaines de sites web, des centaines de formulaires, des milliers de pages. L'audit RGAA manuel reste indispensable pour les critères complexes, mais une part importante du travail peut être automatisée et accélérée par l'IA.</w:t>
      </w:r>
    </w:p>
    <w:p>
      <w:pPr>
        <w:ind w:left="567"/>
      </w:pPr>
      <w:r>
        <w:t xml:space="preserve">L'accessibilité numérique est une obligation légale, un enjeu d'image et un chantier colossal. L'IA peut en </w:t>
      </w:r>
      <w:r>
        <w:rPr>
          <w:b/>
        </w:rPr>
        <w:t>automatiser une part significative</w:t>
      </w:r>
      <w:r>
        <w:t>, là où les processus manuels ne passent pas à l'échelle.</w:t>
      </w:r>
    </w:p>
    <w:p>
      <w:pPr>
        <w:pStyle w:val="Heading3"/>
      </w:pPr>
      <w:r>
        <w:t>4.1 Ce que le Vibe Lab peut apporter à l'accessibilité</w:t>
      </w:r>
    </w:p>
    <w:p>
      <w:pPr>
        <w:pStyle w:val="ListBullet"/>
      </w:pPr>
      <w:r>
        <w:rPr>
          <w:b/>
        </w:rPr>
        <w:t>Audit automatisé à grande échelle.</w:t>
      </w:r>
      <w:r>
        <w:t xml:space="preserve"> Écosystème (G3) scanne déjà les sites du ministère sur 18 critères, dont l'accessibilité. Le Vibe Lab peut enrichir cette couverture avec des tests RGAA automatisés sur l'ensemble de l'écosystème, produisant un état des lieux permanent plutôt que des audits ponctuels.</w:t>
      </w:r>
    </w:p>
    <w:p>
      <w:pPr>
        <w:pStyle w:val="ListBullet"/>
      </w:pPr>
      <w:r>
        <w:rPr>
          <w:b/>
        </w:rPr>
        <w:t>Recommandations de correction par l'IA.</w:t>
      </w:r>
      <w:r>
        <w:t xml:space="preserve"> Au-delà de la détection, l'IA générative peut analyser chaque non-conformité et proposer le correctif précis : code HTML à modifier, attribut ARIA à ajouter, alternative textuelle à rédiger. Le contributeur web reçoit non seulement l'alerte, mais la solution.</w:t>
      </w:r>
    </w:p>
    <w:p>
      <w:pPr>
        <w:pStyle w:val="ListBullet"/>
      </w:pPr>
      <w:r>
        <w:rPr>
          <w:b/>
        </w:rPr>
        <w:t>Contrôle qualité en continu.</w:t>
      </w:r>
      <w:r>
        <w:t xml:space="preserve"> L'extension LeFouineur peut être enrichie pour vérifier l'accessibilité en temps réel à mesure que le contributeur rédige. Plutôt que de corriger après publication, on évite les régressions à la source.</w:t>
      </w:r>
    </w:p>
    <w:p>
      <w:pPr>
        <w:pStyle w:val="ListBullet"/>
      </w:pPr>
      <w:r>
        <w:rPr>
          <w:b/>
        </w:rPr>
        <w:t>Formation et sensibilisation intégrées.</w:t>
      </w:r>
      <w:r>
        <w:t xml:space="preserve"> Chaque recommandation de correction est une micro-formation : le contributeur apprend en corrigeant. L'IA ne remplace pas l'expertise accessibilité, elle la diffuse auprès de ceux qui en ont besoin au moment où ils en ont besoin.</w:t>
      </w:r>
    </w:p>
    <w:p>
      <w:pPr>
        <w:pStyle w:val="Heading3"/>
      </w:pPr>
      <w:r>
        <w:t>Accessibilité à l'échelle</w:t>
      </w:r>
    </w:p>
    <w:tbl>
      <w:tblPr>
        <w:tblStyle w:val="TableGrid"/>
        <w:tblW w:type="auto" w:w="0"/>
        <w:tblLook w:firstColumn="1" w:firstRow="1" w:lastColumn="0" w:lastRow="0" w:noHBand="0" w:noVBand="1" w:val="04A0"/>
      </w:tblPr>
      <w:tblGrid>
        <w:gridCol w:w="4320"/>
        <w:gridCol w:w="4320"/>
      </w:tblGrid>
      <w:tr>
        <w:tc>
          <w:tcPr>
            <w:tcW w:type="dxa" w:w="4320"/>
          </w:tcPr>
          <w:p>
            <w:r/>
            <w:r>
              <w:t>Aujourd'hui</w:t>
            </w:r>
          </w:p>
        </w:tc>
        <w:tc>
          <w:tcPr>
            <w:tcW w:type="dxa" w:w="4320"/>
          </w:tcPr>
          <w:p>
            <w:r/>
            <w:r>
              <w:t>Avec le Vibe Lab</w:t>
            </w:r>
          </w:p>
        </w:tc>
      </w:tr>
      <w:tr>
        <w:tc>
          <w:tcPr>
            <w:tcW w:type="dxa" w:w="4320"/>
          </w:tcPr>
          <w:p>
            <w:r/>
            <w:r>
              <w:t>Audits RGAA ponctuels, tous les 3 ans, sur quelques sites prioritaires. Entre deux audits, les régressions s'accumulent sans être détectées.</w:t>
            </w:r>
          </w:p>
        </w:tc>
        <w:tc>
          <w:tcPr>
            <w:tcW w:type="dxa" w:w="4320"/>
          </w:tcPr>
          <w:p>
            <w:r/>
            <w:r>
              <w:t xml:space="preserve">Scan automatisé </w:t>
            </w:r>
            <w:r>
              <w:rPr>
                <w:b/>
              </w:rPr>
              <w:t>permanent</w:t>
            </w:r>
            <w:r>
              <w:t xml:space="preserve"> de tous les sites. Chaque non-conformité est détectée, documentée et accompagnée d'une proposition de correction générée par l'IA.</w:t>
            </w:r>
          </w:p>
        </w:tc>
      </w:tr>
    </w:tbl>
    <w:p>
      <w:pPr>
        <w:pStyle w:val="Heading2"/>
      </w:pPr>
      <w:r>
        <w:t>5. Recherche UX augmentée par l'IA</w:t>
      </w:r>
    </w:p>
    <w:p>
      <w:r>
        <w:t>La recherche UX est un levier majeur de qualité pour les services numériques, mais ses processus sont lourds : recrutement de testeurs, préparation des protocoles, passation, analyse des verbatims, synthèse. Le vibe coding permet d'automatiser ou d'accélérer chaque étape de cette chaîne.</w:t>
      </w:r>
    </w:p>
    <w:p>
      <w:pPr>
        <w:pStyle w:val="ListBullet"/>
      </w:pPr>
      <w:r>
        <w:rPr>
          <w:b/>
        </w:rPr>
        <w:t>Analyse sémantique des retours utilisateurs.</w:t>
      </w:r>
      <w:r>
        <w:t xml:space="preserve"> Portail Eco Browser intègre déjà du clustering sémantique (HDBSCAN/UMAP) et une recherche RAG. Ces mêmes techniques appliquées aux verbatims de tests utilisateurs, aux retours de consultations (LimeSurvey), ou aux tickets support permettent de dégager des tendances en quelques minutes au lieu de plusieurs jours d'analyse manuelle.</w:t>
      </w:r>
    </w:p>
    <w:p>
      <w:pPr>
        <w:pStyle w:val="ListBullet"/>
      </w:pPr>
      <w:r>
        <w:rPr>
          <w:b/>
        </w:rPr>
        <w:t>Prototypes testables immédiatement.</w:t>
      </w:r>
      <w:r>
        <w:t xml:space="preserve"> Le vibe coding produit des prototypes fonctionnels, pas des maquettes. Cela signifie que le chercheur UX peut lancer un test utilisateur sur un outil réel dès la première semaine du projet, itérer sur la base des retours, et retester dans la foulée.</w:t>
      </w:r>
    </w:p>
    <w:p>
      <w:pPr>
        <w:pStyle w:val="ListBullet"/>
      </w:pPr>
      <w:r>
        <w:rPr>
          <w:b/>
        </w:rPr>
        <w:t>Génération automatisée de protocoles et de grilles d'analyse.</w:t>
      </w:r>
      <w:r>
        <w:t xml:space="preserve"> L'IA générative peut produire des guides d'entretien, des scénarios de test, des grilles d'observation adaptées au contexte du projet. Le chercheur UX supervise et affine au lieu de tout rédiger à partir de zéro.</w:t>
      </w:r>
    </w:p>
    <w:p>
      <w:pPr>
        <w:pStyle w:val="ListBullet"/>
      </w:pPr>
      <w:r>
        <w:rPr>
          <w:b/>
        </w:rPr>
        <w:t>Croisement données quantitatives / qualitatives.</w:t>
      </w:r>
      <w:r>
        <w:t xml:space="preserve"> Les analytics de Portail Eco Browser (Eulerian, Cloudflare, Search Console) croisées avec les retours qualitatifs des tests permettent une recherche UX complète : on sait ce que les utilisateurs font (quantitatif) et pourquoi ils le font (qualitatif).</w:t>
      </w:r>
    </w:p>
    <w:p>
      <w:pPr>
        <w:pStyle w:val="Heading2"/>
      </w:pPr>
      <w:r>
        <w:t>6. L'IA augmente les compétences, elle ne s'y substitue pas</w:t>
      </w:r>
    </w:p>
    <w:p>
      <w:r>
        <w:t xml:space="preserve">Il est important de le préciser : aucun de ces 16 outils n'a été produit au détriment de développeurs ou de designers humains. Ils </w:t>
      </w:r>
      <w:r>
        <w:rPr>
          <w:b/>
        </w:rPr>
        <w:t>n'auraient tout simplement jamais existé autrement</w:t>
      </w:r>
      <w:r>
        <w:t>. Personne n'aurait lancé un marché pour un générateur d'organigrammes, un comparateur de tarifs ou une bibliothèque de dataviz. Le rapport coût/bénéfice ne le justifiait pas dans le circuit classique.</w:t>
      </w:r>
    </w:p>
    <w:p>
      <w:r>
        <w:t>Le vibe coding rend viable ce qui était déraisonnable. Un besoin ponctuel trouve sa réponse en quelques jours. L'outil peut être pérenne ou jetable : peu importe, son coût de production est marginal. Si le besoin évolue, on adapte en quelques heures. S'il disparaît, on passe à autre chose.</w:t>
      </w:r>
    </w:p>
    <w:p>
      <w:r>
        <w:t xml:space="preserve">C'est cette facilité de réalisation qui change la donne pour une mission de design. On ne se demande plus « est-ce qu'on a le budget pour ce prototype ? » mais </w:t>
      </w:r>
      <w:r>
        <w:rPr>
          <w:b/>
        </w:rPr>
        <w:t>« est-ce que c'est la bonne idée ? »</w:t>
      </w:r>
      <w:r>
        <w:t>. Le coût n'est plus le goulot d'étranglement. La réflexion et la pertinence métier le redeviennent. C'est exactement le bon cadre pour une équipe de designers et d'experts UX.</w:t>
      </w:r>
    </w:p>
    <w:p>
      <w:pPr>
        <w:pStyle w:val="Heading2"/>
      </w:pPr>
      <w:r>
        <w:t>7. De l'ingénierie à l'intelligence du web</w:t>
      </w:r>
    </w:p>
    <w:p>
      <w:pPr>
        <w:pStyle w:val="Heading3"/>
      </w:pPr>
      <w:r>
        <w:t>7.1 Ce que la mission fait aujourd'hui</w:t>
      </w:r>
    </w:p>
    <w:p>
      <w:r>
        <w:t>La MIWEB gère l'écosystème web ministériel : éditorial, technique, conformité DSFR, coordination entre les équipes. Le périmètre est essentiellement celui de l'ingénierie : faire tourner, maintenir, mettre en conformité.</w:t>
      </w:r>
    </w:p>
    <w:p>
      <w:pPr>
        <w:ind w:left="567"/>
      </w:pPr>
      <w:r>
        <w:t xml:space="preserve">La MIWEB maîtrise déjà l'ingénierie du web ministériel. Le vibe coding lui donne les moyens de passer à l'étape suivante : devenir la </w:t>
      </w:r>
      <w:r>
        <w:rPr>
          <w:b/>
        </w:rPr>
        <w:t>mission d'intelligence du web</w:t>
      </w:r>
      <w:r>
        <w:t>.</w:t>
      </w:r>
    </w:p>
    <w:p>
      <w:pPr>
        <w:pStyle w:val="Heading3"/>
      </w:pPr>
      <w:r>
        <w:t>7.2 Ce que le Vibe Lab permet d'y ajouter</w:t>
      </w:r>
    </w:p>
    <w:p>
      <w:pPr>
        <w:pStyle w:val="ListBullet"/>
      </w:pPr>
      <w:r>
        <w:rPr>
          <w:b/>
        </w:rPr>
        <w:t>Intelligence éditoriale.</w:t>
      </w:r>
      <w:r>
        <w:t xml:space="preserve"> Avec Portail Eco Browser, la mission dispose d'une connaissance fine et automatisée de l'ensemble du contenu publié : pages obsolètes, redondances, lacunes, parcours utilisateurs, performance SEO. On ne gère plus le portail à l'aveugle.</w:t>
      </w:r>
    </w:p>
    <w:p>
      <w:pPr>
        <w:pStyle w:val="ListBullet"/>
      </w:pPr>
      <w:r>
        <w:rPr>
          <w:b/>
        </w:rPr>
        <w:t>Intelligence de gouvernance.</w:t>
      </w:r>
      <w:r>
        <w:t xml:space="preserve"> Écosystème scanne en permanence les sites ministériels sur 18 critères. La mission peut piloter la qualité web par les données, anticiper les problèmes, rendre compte avec des indicateurs factuels.</w:t>
      </w:r>
    </w:p>
    <w:p>
      <w:pPr>
        <w:pStyle w:val="ListBullet"/>
      </w:pPr>
      <w:r>
        <w:rPr>
          <w:b/>
        </w:rPr>
        <w:t>Intelligence du design.</w:t>
      </w:r>
      <w:r>
        <w:t xml:space="preserve"> Prototypage rapide, tests sur des outils réels, itération continue, composants DSFR réutilisables. La mission ne se contente plus d'appliquer le design system : elle le fait vivre, elle l'enrichit, elle le teste.</w:t>
      </w:r>
    </w:p>
    <w:p>
      <w:pPr>
        <w:pStyle w:val="ListBullet"/>
      </w:pPr>
      <w:r>
        <w:rPr>
          <w:b/>
        </w:rPr>
        <w:t>Intelligence de l'accessibilité.</w:t>
      </w:r>
      <w:r>
        <w:t xml:space="preserve"> Audit automatisé permanent, recommandations de correction par l'IA, contrôle qualité embarqué pour les contributeurs. La mission passe d'un rôle de prescripteur à un rôle de facilitateur.</w:t>
      </w:r>
    </w:p>
    <w:p>
      <w:pPr>
        <w:ind w:left="567"/>
      </w:pPr>
      <w:r>
        <w:rPr>
          <w:b/>
        </w:rPr>
        <w:t>Mission Ingénierie du Web → Mission Intelligence du Web</w:t>
      </w:r>
      <w:r>
        <w:t xml:space="preserve"> Ce repositionnement traduit une réalité : les outils produits par le vibe coding donnent à la mission une capacité de compréhension, d'anticipation et de production que l'ingénierie seule ne permet pas. L'intelligence du web, c'est : - </w:t>
      </w:r>
      <w:r>
        <w:rPr>
          <w:b/>
        </w:rPr>
        <w:t>Comprendre</w:t>
      </w:r>
      <w:r>
        <w:t xml:space="preserve"> le contenu et l'audience (Portail Eco Browser) - </w:t>
      </w:r>
      <w:r>
        <w:rPr>
          <w:b/>
        </w:rPr>
        <w:t>Piloter</w:t>
      </w:r>
      <w:r>
        <w:t xml:space="preserve"> la qualité par les données (Écosystème) - </w:t>
      </w:r>
      <w:r>
        <w:rPr>
          <w:b/>
        </w:rPr>
        <w:t>Produire</w:t>
      </w:r>
      <w:r>
        <w:t xml:space="preserve"> et tester à la vitesse du besoin (Vibe Lab) - </w:t>
      </w:r>
      <w:r>
        <w:rPr>
          <w:b/>
        </w:rPr>
        <w:t>Garantir</w:t>
      </w:r>
      <w:r>
        <w:t xml:space="preserve"> l'accessibilité à l'échelle (automatisation IA) - </w:t>
      </w:r>
      <w:r>
        <w:rPr>
          <w:b/>
        </w:rPr>
        <w:t>Enrichir</w:t>
      </w:r>
      <w:r>
        <w:t xml:space="preserve"> le design system par l'expérimentation (composants, thèmes, dataviz)</w:t>
      </w:r>
    </w:p>
    <w:p>
      <w:pPr>
        <w:pStyle w:val="Heading2"/>
      </w:pPr>
      <w:r>
        <w:t>8. Ce que ça demande</w:t>
      </w:r>
    </w:p>
    <w:p>
      <w:r>
        <w:t xml:space="preserve">La mise en place d'un Vibe Lab au sein de la MIWEB repose sur des </w:t>
      </w:r>
      <w:r>
        <w:rPr>
          <w:b/>
        </w:rPr>
        <w:t>moyens modestes</w:t>
      </w:r>
      <w:r>
        <w:t xml:space="preserve"> :</w:t>
      </w:r>
    </w:p>
    <w:p>
      <w:pPr>
        <w:pStyle w:val="ListBullet"/>
      </w:pPr>
      <w:r>
        <w:rPr>
          <w:b/>
        </w:rPr>
        <w:t>1,5 à 3 ETP.</w:t>
      </w:r>
      <w:r>
        <w:t xml:space="preserve"> La première année, le Lab peut fonctionner avec </w:t>
      </w:r>
      <w:r>
        <w:rPr>
          <w:b/>
        </w:rPr>
        <w:t>1,5 ETP</w:t>
      </w:r>
      <w:r>
        <w:t xml:space="preserve"> en mobilisant deux ou trois agents déjà en poste qui consacreront d'un tiers à deux tiers de leur temps au sujet. À terme, l'objectif est d'atteindre 2 à 3 agents dédiés. Des profils tech/produit qui connaissent les métiers de la mission. Le vibe coding ne nécessite pas d'être développeur senior, mais de savoir guider l'IA avec une vision métier et un socle technique solide.</w:t>
      </w:r>
    </w:p>
    <w:p>
      <w:pPr>
        <w:pStyle w:val="ListBullet"/>
      </w:pPr>
      <w:r>
        <w:rPr>
          <w:b/>
        </w:rPr>
        <w:t>~1 000 €/mois de licences IA (plafonné).</w:t>
      </w:r>
      <w:r>
        <w:t xml:space="preserve"> Claude Pro/Team + GitHub Copilot, soit 200-350 €/personne/mois. Pour 3 agents : ~1 000 €/mois maximum.</w:t>
      </w:r>
    </w:p>
    <w:p>
      <w:pPr>
        <w:pStyle w:val="ListBullet"/>
      </w:pPr>
      <w:r>
        <w:rPr>
          <w:b/>
        </w:rPr>
        <w:t>Infrastructure existante.</w:t>
      </w:r>
      <w:r>
        <w:t xml:space="preserve"> GitHub, CI/CD, Docker, hébergement — tout est déjà en place. Aucun investissement supplémentaire. Les projets open source de communication ne présentent aucun risque sécurité ni RGPD : code public, données publiques, usages publics.</w:t>
      </w:r>
    </w:p>
    <w:p>
      <w:r>
        <w:t xml:space="preserve">Pour comparaison : les 16 outils déjà produits représentent l'équivalent de </w:t>
      </w:r>
      <w:r>
        <w:rPr>
          <w:b/>
        </w:rPr>
        <w:t>~700 000 € en prestation</w:t>
      </w:r>
      <w:r>
        <w:t>. Le coût annuel en licences du Lab (</w:t>
      </w:r>
      <w:r>
        <w:rPr>
          <w:b/>
        </w:rPr>
        <w:t>~15 600 €</w:t>
      </w:r>
      <w:r>
        <w:t xml:space="preserve">) en représente </w:t>
      </w:r>
      <w:r>
        <w:rPr>
          <w:b/>
        </w:rPr>
        <w:t>2,2 %</w:t>
      </w:r>
      <w:r>
        <w:t>. Le Lab s'autofinance dès son premier mois.</w:t>
      </w:r>
    </w:p>
    <w:p>
      <w:pPr>
        <w:pStyle w:val="Heading2"/>
      </w:pPr>
      <w:r>
        <w:t>9. Ce que la mission y gagne</w:t>
      </w:r>
    </w:p>
    <w:p>
      <w:pPr>
        <w:pStyle w:val="ListBullet"/>
      </w:pPr>
      <w:r>
        <w:rPr>
          <w:b/>
        </w:rPr>
        <w:t>Capacité de production décuplée.</w:t>
      </w:r>
      <w:r>
        <w:t xml:space="preserve"> La mission peut répondre en jours à des besoins qui prenaient des mois. Les demandes internes (studio graphique, communication, équipes éditoriales) trouvent une réponse rapide et concrète.</w:t>
      </w:r>
    </w:p>
    <w:p>
      <w:pPr>
        <w:pStyle w:val="ListBullet"/>
      </w:pPr>
      <w:r>
        <w:rPr>
          <w:b/>
        </w:rPr>
        <w:t>Positionnement stratégique renforcé.</w:t>
      </w:r>
      <w:r>
        <w:t xml:space="preserve"> La mission ne se contente plus de gérer l'existant : elle produit, elle prototype, elle expérimente. Elle devient le lieu où les idées prennent forme avant d'être industrialisées.</w:t>
      </w:r>
    </w:p>
    <w:p>
      <w:pPr>
        <w:pStyle w:val="ListBullet"/>
      </w:pPr>
      <w:r>
        <w:rPr>
          <w:b/>
        </w:rPr>
        <w:t>Leadership sur l'accessibilité.</w:t>
      </w:r>
      <w:r>
        <w:t xml:space="preserve"> Avec l'automatisation des audits et les recommandations IA, la mission devient le référent opérationnel de l'accessibilité ministérielle — pas seulement le prescripteur, mais celui qui fournit les outils pour corriger.</w:t>
      </w:r>
    </w:p>
    <w:p>
      <w:pPr>
        <w:pStyle w:val="ListBullet"/>
      </w:pPr>
      <w:r>
        <w:rPr>
          <w:b/>
        </w:rPr>
        <w:t>Attractivité de l'équipe.</w:t>
      </w:r>
      <w:r>
        <w:t xml:space="preserve"> Une mission qui travaille avec de l'IA générative, qui publie en open source, qui produit des outils innovants, attire des profils de qualité. L'expérimentation technologique est un levier de recrutement et de fidélisation.</w:t>
      </w:r>
    </w:p>
    <w:p>
      <w:pPr>
        <w:pStyle w:val="ListBullet"/>
      </w:pPr>
      <w:r>
        <w:rPr>
          <w:b/>
        </w:rPr>
        <w:t>Visibilité ministérielle et interministérielle.</w:t>
      </w:r>
      <w:r>
        <w:t xml:space="preserve"> Les outils produits (ChartsBuilder, thème LimeSurvey, Écosystème) sont réutilisables par d'autres ministères. La mission devient contributrice de l'écosystème numérique public, avec des composants DSFR adoptés au-delà du ministère de l'Économie.</w:t>
      </w:r>
    </w:p>
    <w:p>
      <w:pPr>
        <w:pStyle w:val="Heading2"/>
      </w:pPr>
      <w:r>
        <w:t>10. Gouvernance, ExcelExit et articulation BercyHub</w:t>
      </w:r>
    </w:p>
    <w:p>
      <w:r>
        <w:t xml:space="preserve">Le Vibe Lab s'est doté d'un </w:t>
      </w:r>
      <w:r>
        <w:rPr>
          <w:b/>
        </w:rPr>
        <w:t>cadre de gouvernance formalisé</w:t>
      </w:r>
      <w:r>
        <w:t xml:space="preserve"> pour accompagner sa structuration :</w:t>
      </w:r>
    </w:p>
    <w:p>
      <w:pPr>
        <w:pStyle w:val="ListBullet"/>
      </w:pPr>
      <w:r>
        <w:rPr>
          <w:b/>
        </w:rPr>
        <w:t>Comité de priorisation</w:t>
      </w:r>
      <w:r>
        <w:t xml:space="preserve"> mensuel avec les directions sponsors</w:t>
      </w:r>
    </w:p>
    <w:p>
      <w:pPr>
        <w:pStyle w:val="ListBullet"/>
      </w:pPr>
      <w:r>
        <w:rPr>
          <w:b/>
        </w:rPr>
        <w:t>Revue trimestrielle</w:t>
      </w:r>
      <w:r>
        <w:t xml:space="preserve"> avec le SNUM n+2</w:t>
      </w:r>
    </w:p>
    <w:p>
      <w:pPr>
        <w:pStyle w:val="ListBullet"/>
      </w:pPr>
      <w:r>
        <w:rPr>
          <w:b/>
        </w:rPr>
        <w:t>Grille d'évaluation objective</w:t>
      </w:r>
      <w:r>
        <w:t xml:space="preserve"> (scoring sur 50 points, 6 critères pondérés) pour déterminer les priorités</w:t>
      </w:r>
    </w:p>
    <w:p>
      <w:pPr>
        <w:pStyle w:val="ListBullet"/>
      </w:pPr>
      <w:r>
        <w:rPr>
          <w:b/>
        </w:rPr>
        <w:t>Cinq règles cardinales</w:t>
      </w:r>
      <w:r>
        <w:t xml:space="preserve"> encadrent le fonctionnement, dont l'abandon systématique à 4 semaines sans usage et la limite à 5 projets actifs simultanés</w:t>
      </w:r>
    </w:p>
    <w:p>
      <w:r>
        <w:t xml:space="preserve">L'articulation avec </w:t>
      </w:r>
      <w:r>
        <w:rPr>
          <w:b/>
        </w:rPr>
        <w:t>BercyHub</w:t>
      </w:r>
      <w:r>
        <w:t xml:space="preserve"> suit un modèle d'éclaireur : le Lab prototype sur données publiques, la direction valide le concept, BercyHub industrialise si le besoin justifie un traitement sur données sensibles. Un point trimestriel structuré garantit la cohérence entre les deux dispositifs. La règle de démarcation est absolue et documentée.</w:t>
      </w:r>
    </w:p>
    <w:p>
      <w:r>
        <w:t xml:space="preserve">Le projet </w:t>
      </w:r>
      <w:r>
        <w:rPr>
          <w:b/>
        </w:rPr>
        <w:t>ExcelExit</w:t>
      </w:r>
      <w:r>
        <w:t xml:space="preserve"> incarne cette ambition élargie : migration systématique des fichiers Excel critiques vers Grist (grist.numerique.gouv.fr), avec interfaces DSFR générées par le Lab. Score de </w:t>
      </w:r>
      <w:r>
        <w:rPr>
          <w:b/>
        </w:rPr>
        <w:t>47/50</w:t>
      </w:r>
      <w:r>
        <w:t xml:space="preserve"> sur la grille d'évaluation — le plus élevé de tous les projets évalués. Ce projet illustre comment le Vibe Lab peut servir l'ensemble du ministère tout en restant dans son périmètre sécurisé (données publiques, pas de SI sensible). Un plan de communication en 12 semaines a été élaboré pour générer la demande et structurer la visibilité du Lab.</w:t>
      </w:r>
    </w:p>
    <w:p>
      <w:pPr>
        <w:pStyle w:val="Heading2"/>
      </w:pPr>
      <w:r>
        <w:t>11. En résumé</w:t>
      </w:r>
    </w:p>
    <w:p>
      <w:pPr>
        <w:ind w:left="567"/>
      </w:pPr>
      <w:r>
        <w:t xml:space="preserve">Le vibe coding donne à la MIWEB les moyens de ses ambitions : - </w:t>
      </w:r>
      <w:r>
        <w:rPr>
          <w:b/>
        </w:rPr>
        <w:t>Prototyper</w:t>
      </w:r>
      <w:r>
        <w:t xml:space="preserve"> sur du réel et tester avec de vrais utilisateurs - </w:t>
      </w:r>
      <w:r>
        <w:rPr>
          <w:b/>
        </w:rPr>
        <w:t>Aligner</w:t>
      </w:r>
      <w:r>
        <w:t xml:space="preserve"> les designs visuels désuets en quelques jours - </w:t>
      </w:r>
      <w:r>
        <w:rPr>
          <w:b/>
        </w:rPr>
        <w:t>Automatiser</w:t>
      </w:r>
      <w:r>
        <w:t xml:space="preserve"> l'accessibilité à l'échelle du ministère - </w:t>
      </w:r>
      <w:r>
        <w:rPr>
          <w:b/>
        </w:rPr>
        <w:t>Augmenter</w:t>
      </w:r>
      <w:r>
        <w:t xml:space="preserve"> la recherche UX par l'IA - </w:t>
      </w:r>
      <w:r>
        <w:rPr>
          <w:b/>
        </w:rPr>
        <w:t>Couvrir</w:t>
      </w:r>
      <w:r>
        <w:t xml:space="preserve"> les 3 dimensions du design : visuel, service, éditorial Pour </w:t>
      </w:r>
      <w:r>
        <w:rPr>
          <w:b/>
        </w:rPr>
        <w:t>1,5 à 3 ETP</w:t>
      </w:r>
      <w:r>
        <w:t xml:space="preserve"> et </w:t>
      </w:r>
      <w:r>
        <w:rPr>
          <w:b/>
        </w:rPr>
        <w:t>~1 000 €/mois</w:t>
      </w:r>
      <w:r>
        <w:t xml:space="preserve"> de licences. La première année : 1,5 ETP avec deux ou trois agents déjà en poste.</w:t>
      </w:r>
    </w:p>
    <w:p>
      <w:r>
        <w:t xml:space="preserve">L'expérimentation a démontré ce qui est possible. La structurer en Vibe Lab transformerait une initiative individuelle en </w:t>
      </w:r>
      <w:r>
        <w:rPr>
          <w:b/>
        </w:rPr>
        <w:t>capacité collective</w:t>
      </w:r>
      <w:r>
        <w:t>, et donnerait à la mission les moyens de passer de l'ingénierie du web à l'intelligence du web.</w:t>
      </w:r>
    </w:p>
    <w:p>
      <w:r>
        <w:t xml:space="preserve">C'est un investissement modeste pour un </w:t>
      </w:r>
      <w:r>
        <w:rPr>
          <w:b/>
        </w:rPr>
        <w:t>effet de levier considérable</w:t>
      </w:r>
      <w:r>
        <w:t xml:space="preserve"> sur la production, le positionnement et la visibilité de l'équipe.</w:t>
      </w:r>
    </w:p>
    <w:p>
      <w:pPr>
        <w:pStyle w:val="Heading2"/>
      </w:pPr>
      <w:r>
        <w:t>Annexe — Dépôts GitHub</w:t>
      </w:r>
    </w:p>
    <w:p>
      <w:pPr>
        <w:pStyle w:val="ListBullet"/>
      </w:pPr>
      <w:r>
        <w:rPr>
          <w:b/>
        </w:rPr>
        <w:t>Écosystème (G3)</w:t>
      </w:r>
      <w:r>
        <w:t xml:space="preserve"> : https://github.com/bmatge/g3</w:t>
      </w:r>
    </w:p>
    <w:p>
      <w:pPr>
        <w:pStyle w:val="ListBullet"/>
      </w:pPr>
      <w:r>
        <w:rPr>
          <w:b/>
        </w:rPr>
        <w:t>Portail Eco Browser</w:t>
      </w:r>
      <w:r>
        <w:t xml:space="preserve"> : https://github.com/bmatge/portail-eco-browser</w:t>
      </w:r>
    </w:p>
    <w:p>
      <w:pPr>
        <w:pStyle w:val="ListBullet"/>
      </w:pPr>
      <w:r>
        <w:rPr>
          <w:b/>
        </w:rPr>
        <w:t>ChartsBuilder (gouv-widgets)</w:t>
      </w:r>
      <w:r>
        <w:t xml:space="preserve"> : https://github.com/bmatge/gouv-widgets</w:t>
      </w:r>
    </w:p>
    <w:p>
      <w:pPr>
        <w:pStyle w:val="ListBullet"/>
      </w:pPr>
      <w:r>
        <w:rPr>
          <w:b/>
        </w:rPr>
        <w:t>LimeSurvey DSFR</w:t>
      </w:r>
      <w:r>
        <w:t xml:space="preserve"> : https://github.com/bmatge/limesurvey-theme-dsfr</w:t>
      </w:r>
    </w:p>
    <w:p>
      <w:pPr>
        <w:pStyle w:val="ListBullet"/>
      </w:pPr>
      <w:r>
        <w:rPr>
          <w:b/>
        </w:rPr>
        <w:t>Organigrammes</w:t>
      </w:r>
      <w:r>
        <w:t xml:space="preserve"> : https://github.com/bmatge/org-chart-service-public</w:t>
      </w:r>
    </w:p>
    <w:p>
      <w:pPr>
        <w:pStyle w:val="ListBullet"/>
      </w:pPr>
      <w:r>
        <w:rPr>
          <w:b/>
        </w:rPr>
        <w:t>Prix Contrôle Technique</w:t>
      </w:r>
      <w:r>
        <w:t xml:space="preserve"> : https://github.com/bmatge/prix-controle-technique</w:t>
      </w:r>
    </w:p>
    <w:p>
      <w:pPr>
        <w:pStyle w:val="ListBullet"/>
      </w:pPr>
      <w:r>
        <w:rPr>
          <w:b/>
        </w:rPr>
        <w:t>Tarifs Bancaires</w:t>
      </w:r>
      <w:r>
        <w:t xml:space="preserve"> : https://github.com/bmatge/tarifs-bancaires</w:t>
      </w:r>
    </w:p>
    <w:p>
      <w:pPr>
        <w:pStyle w:val="ListBullet"/>
      </w:pPr>
      <w:r>
        <w:rPr>
          <w:b/>
        </w:rPr>
        <w:t>LeFouineur</w:t>
      </w:r>
      <w:r>
        <w:t xml:space="preserve"> : https://github.com/bmatge/eco-alert-bo</w:t>
      </w:r>
    </w:p>
    <w:p>
      <w:pPr>
        <w:pStyle w:val="ListBullet"/>
      </w:pPr>
      <w:r>
        <w:rPr>
          <w:b/>
        </w:rPr>
        <w:t>Site vitrine Vibe Lab</w:t>
      </w:r>
      <w:r>
        <w:t xml:space="preserve"> : https://github.com/bmatge/vibe-lab-bercy</w:t>
      </w:r>
    </w:p>
    <w:p>
      <w:pPr>
        <w:pStyle w:val="ListBullet"/>
      </w:pPr>
      <w:r>
        <w:rPr>
          <w:b/>
        </w:rPr>
        <w:t>POC portail conso</w:t>
      </w:r>
      <w:r>
        <w:t xml:space="preserve"> : https://github.com/bmatge/portail-conso-corpus</w:t>
      </w:r>
    </w:p>
    <w:p>
      <w:pPr>
        <w:pStyle w:val="ListBullet"/>
      </w:pPr>
      <w:r>
        <w:rPr>
          <w:b/>
        </w:rPr>
        <w:t>Modèle maturité communication</w:t>
      </w:r>
      <w:r>
        <w:t xml:space="preserve"> : https://github.com/bmatge/maturity-model</w:t>
      </w:r>
    </w:p>
    <w:p>
      <w:pPr>
        <w:pStyle w:val="ListBullet"/>
      </w:pPr>
      <w:r>
        <w:rPr>
          <w:b/>
        </w:rPr>
        <w:t>Grist Form DSFR</w:t>
      </w:r>
      <w:r>
        <w:t xml:space="preserve"> : https://github.com/bmatge/grist-dsfr-form</w:t>
      </w:r>
    </w:p>
    <w:p>
      <w:pPr>
        <w:pStyle w:val="ListBullet"/>
      </w:pPr>
      <w:r>
        <w:rPr>
          <w:b/>
        </w:rPr>
        <w:t>Archinalyzer</w:t>
      </w:r>
      <w:r>
        <w:t xml:space="preserve"> : https://github.com/bmatge/archinalyzer</w:t>
      </w:r>
    </w:p>
    <w:p>
      <w:pPr>
        <w:pStyle w:val="ListBullet"/>
      </w:pPr>
      <w:r>
        <w:rPr>
          <w:b/>
        </w:rPr>
        <w:t>Plugin DSFR email</w:t>
      </w:r>
      <w:r>
        <w:t xml:space="preserve"> : https://github.com/bmatge/limesurvey-email-dsfr</w:t>
      </w:r>
    </w:p>
    <w:p>
      <w:pPr>
        <w:pStyle w:val="ListBullet"/>
      </w:pPr>
      <w:r>
        <w:rPr>
          <w:b/>
        </w:rPr>
        <w:t>Plugin Albert</w:t>
      </w:r>
      <w:r>
        <w:t xml:space="preserve"> : https://github.com/bmatge/limesurvey-conversation-albert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Marianne" w:hAnsi="Mariann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