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Pitch deck</w:t>
      </w:r>
    </w:p>
    <w:p>
      <w:pPr>
        <w:pStyle w:val="Heading1"/>
      </w:pPr>
      <w:r>
        <w:t>Vibe Lab — L'IA generative au service du ministere</w:t>
      </w:r>
    </w:p>
    <w:p>
      <w:pPr>
        <w:ind w:left="567"/>
      </w:pPr>
      <w:r>
        <w:t>Proposition de creation d'un laboratoire de prototypage assiste par IA</w:t>
      </w:r>
    </w:p>
    <w:p>
      <w:r>
        <w:t>Bertrand Matge — MIWEB / SNUM — Fevrier 2026</w:t>
      </w:r>
    </w:p>
    <w:p>
      <w:pPr>
        <w:pStyle w:val="Heading2"/>
      </w:pPr>
      <w:r>
        <w:t>6 mois. 1 agent. 16 outils.</w:t>
      </w:r>
    </w:p>
    <w:p>
      <w:r>
        <w:rPr>
          <w:b/>
        </w:rPr>
        <w:t>Retour d'experience : septembre 2025 – fevrier 2026</w:t>
      </w:r>
    </w:p>
    <w:p>
      <w:pPr>
        <w:pStyle w:val="ListBullet"/>
      </w:pPr>
      <w:r>
        <w:rPr>
          <w:b/>
        </w:rPr>
        <w:t>16 outils numeriques</w:t>
      </w:r>
      <w:r>
        <w:t xml:space="preserve"> fonctionnels, testes</w:t>
      </w:r>
    </w:p>
    <w:p>
      <w:pPr>
        <w:pStyle w:val="ListBullet"/>
      </w:pPr>
      <w:r>
        <w:rPr>
          <w:b/>
        </w:rPr>
        <w:t>~700 K€</w:t>
      </w:r>
      <w:r>
        <w:t xml:space="preserve"> cout presta. equivalent (~1 200 jours-homme)</w:t>
      </w:r>
    </w:p>
    <w:p>
      <w:pPr>
        <w:pStyle w:val="ListBullet"/>
      </w:pPr>
      <w:r>
        <w:rPr>
          <w:b/>
        </w:rPr>
        <w:t>88 % d'economie</w:t>
      </w:r>
      <w:r>
        <w:t xml:space="preserve"> vs. prestation classique</w:t>
      </w:r>
    </w:p>
    <w:p>
      <w:pPr>
        <w:ind w:left="567"/>
      </w:pPr>
      <w:r>
        <w:t>Aucun de ces projets n'aurait existe sans l'IA. Non pas parce que les competences manquent, mais parce que les circuits classiques rendent leur cout et leur delai disproportionnes.</w:t>
      </w:r>
    </w:p>
    <w:p>
      <w:pPr>
        <w:ind w:left="567"/>
      </w:pPr>
      <w:r>
        <w:t>L'IA ne remplace pas les equipes — elle debloque ce qui etait impossible.</w:t>
      </w:r>
    </w:p>
    <w:p>
      <w:pPr>
        <w:pStyle w:val="Heading2"/>
      </w:pPr>
      <w:r>
        <w:t>16 outils, 3 dimensions du design</w:t>
      </w:r>
    </w:p>
    <w:p>
      <w:r>
        <w:rPr>
          <w:b/>
        </w:rPr>
        <w:t>Design visuel :</w:t>
      </w:r>
    </w:p>
    <w:p>
      <w:pPr>
        <w:pStyle w:val="ListBullet"/>
      </w:pPr>
      <w:r>
        <w:t>ChartsBuilder (dataviz DSFR)</w:t>
      </w:r>
    </w:p>
    <w:p>
      <w:pPr>
        <w:pStyle w:val="ListBullet"/>
      </w:pPr>
      <w:r>
        <w:t>Theme LimeSurvey DSFR</w:t>
      </w:r>
    </w:p>
    <w:p>
      <w:pPr>
        <w:pStyle w:val="ListBullet"/>
      </w:pPr>
      <w:r>
        <w:t>Organigrammes service public</w:t>
      </w:r>
    </w:p>
    <w:p>
      <w:r>
        <w:rPr>
          <w:b/>
        </w:rPr>
        <w:t>Design de service :</w:t>
      </w:r>
    </w:p>
    <w:p>
      <w:pPr>
        <w:pStyle w:val="ListBullet"/>
      </w:pPr>
      <w:r>
        <w:t>Comparateurs grand public</w:t>
      </w:r>
    </w:p>
    <w:p>
      <w:pPr>
        <w:pStyle w:val="ListBullet"/>
      </w:pPr>
      <w:r>
        <w:t>Ecosysteme (gouvernance)</w:t>
      </w:r>
    </w:p>
    <w:p>
      <w:pPr>
        <w:pStyle w:val="ListBullet"/>
      </w:pPr>
      <w:r>
        <w:t>LeFouineur (qualite web)</w:t>
      </w:r>
    </w:p>
    <w:p>
      <w:r>
        <w:rPr>
          <w:b/>
        </w:rPr>
        <w:t>Design editorial :</w:t>
      </w:r>
    </w:p>
    <w:p>
      <w:pPr>
        <w:pStyle w:val="ListBullet"/>
      </w:pPr>
      <w:r>
        <w:t>Portail Eco Browser</w:t>
      </w:r>
    </w:p>
    <w:p>
      <w:pPr>
        <w:pStyle w:val="ListBullet"/>
      </w:pPr>
      <w:r>
        <w:t>ChartsBuilder (redacteurs)</w:t>
      </w:r>
    </w:p>
    <w:p>
      <w:pPr>
        <w:pStyle w:val="ListBullet"/>
      </w:pPr>
      <w:r>
        <w:t>LeFouineur (contributeurs)</w:t>
      </w:r>
    </w:p>
    <w:p>
      <w:r>
        <w:rPr>
          <w:b/>
        </w:rPr>
        <w:t>~420 000 lignes de code</w:t>
      </w:r>
      <w:r>
        <w:t xml:space="preserve"> · </w:t>
      </w:r>
      <w:r>
        <w:rPr>
          <w:b/>
        </w:rPr>
        <w:t>1 800+ tests automatises</w:t>
      </w:r>
      <w:r>
        <w:t xml:space="preserve"> · </w:t>
      </w:r>
      <w:r>
        <w:rPr>
          <w:b/>
        </w:rPr>
        <w:t>100 % DSFR</w:t>
      </w:r>
      <w:r>
        <w:t xml:space="preserve"> conforme · </w:t>
      </w:r>
      <w:r>
        <w:rPr>
          <w:b/>
        </w:rPr>
        <w:t>Open source</w:t>
      </w:r>
      <w:r>
        <w:t xml:space="preserve"> publie sur GitHub</w:t>
      </w:r>
    </w:p>
    <w:p>
      <w:pPr>
        <w:pStyle w:val="Heading2"/>
      </w:pPr>
      <w:r>
        <w:t>La vitesse change tout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t>Circuit classique</w:t>
            </w:r>
          </w:p>
        </w:tc>
        <w:tc>
          <w:tcPr>
            <w:tcW w:type="dxa" w:w="4320"/>
          </w:tcPr>
          <w:p>
            <w:r/>
            <w:r>
              <w:t>Vibe Lab</w:t>
            </w:r>
          </w:p>
        </w:tc>
      </w:tr>
      <w:tr>
        <w:tc>
          <w:tcPr>
            <w:tcW w:type="dxa" w:w="4320"/>
          </w:tcPr>
          <w:p>
            <w:r/>
            <w:r>
              <w:t>Cahier des charges → 2-4 semaines</w:t>
            </w:r>
          </w:p>
        </w:tc>
        <w:tc>
          <w:tcPr>
            <w:tcW w:type="dxa" w:w="4320"/>
          </w:tcPr>
          <w:p>
            <w:r/>
            <w:r>
              <w:t>Besoin exprime le lundi</w:t>
            </w:r>
          </w:p>
        </w:tc>
      </w:tr>
      <w:tr>
        <w:tc>
          <w:tcPr>
            <w:tcW w:type="dxa" w:w="4320"/>
          </w:tcPr>
          <w:p>
            <w:r/>
            <w:r>
              <w:t>Marche public → 1-3 mois</w:t>
            </w:r>
          </w:p>
        </w:tc>
        <w:tc>
          <w:tcPr>
            <w:tcW w:type="dxa" w:w="4320"/>
          </w:tcPr>
          <w:p>
            <w:r/>
            <w:r>
              <w:t>Prototype fonctionnel le vendredi</w:t>
            </w:r>
          </w:p>
        </w:tc>
      </w:tr>
      <w:tr>
        <w:tc>
          <w:tcPr>
            <w:tcW w:type="dxa" w:w="4320"/>
          </w:tcPr>
          <w:p>
            <w:r/>
            <w:r>
              <w:t>Developpement → 3-6 mois</w:t>
            </w:r>
          </w:p>
        </w:tc>
        <w:tc>
          <w:tcPr>
            <w:tcW w:type="dxa" w:w="4320"/>
          </w:tcPr>
          <w:p>
            <w:r/>
            <w:r>
              <w:t>Test utilisateurs la semaine suivante</w:t>
            </w:r>
          </w:p>
        </w:tc>
      </w:tr>
      <w:tr>
        <w:tc>
          <w:tcPr>
            <w:tcW w:type="dxa" w:w="4320"/>
          </w:tcPr>
          <w:p>
            <w:r/>
            <w:r>
              <w:t>Recette → 2-4 semaines</w:t>
            </w:r>
          </w:p>
        </w:tc>
        <w:tc>
          <w:tcPr>
            <w:tcW w:type="dxa" w:w="4320"/>
          </w:tcPr>
          <w:p>
            <w:r/>
            <w:r>
              <w:t>Iteration en continu</w:t>
            </w:r>
          </w:p>
        </w:tc>
      </w:tr>
      <w:tr>
        <w:tc>
          <w:tcPr>
            <w:tcW w:type="dxa" w:w="4320"/>
          </w:tcPr>
          <w:p>
            <w:r/>
            <w:r>
              <w:t>Le besoin a peut-etre change...</w:t>
            </w:r>
          </w:p>
        </w:tc>
        <w:tc>
          <w:tcPr>
            <w:tcW w:type="dxa" w:w="4320"/>
          </w:tcPr>
          <w:p>
            <w:r/>
            <w:r>
              <w:t>Cout marginal, jetable si besoin</w:t>
            </w:r>
          </w:p>
        </w:tc>
      </w:tr>
    </w:tbl>
    <w:p>
      <w:pPr>
        <w:pStyle w:val="Heading2"/>
      </w:pPr>
      <w:r>
        <w:t>Valeur pour la communication</w:t>
      </w:r>
    </w:p>
    <w:p>
      <w:pPr>
        <w:pStyle w:val="ListBullet"/>
      </w:pPr>
      <w:r>
        <w:rPr>
          <w:b/>
        </w:rPr>
        <w:t>Gouvernance des sites</w:t>
      </w:r>
      <w:r>
        <w:t xml:space="preserve"> — Ecosysteme surveille tous les sites ministeriels : performance, accessibilite, SSL, DSFR. Problemes d'image detectes avant les usagers.</w:t>
      </w:r>
    </w:p>
    <w:p>
      <w:pPr>
        <w:pStyle w:val="ListBullet"/>
      </w:pPr>
      <w:r>
        <w:rPr>
          <w:b/>
        </w:rPr>
        <w:t>Connaissance du portail</w:t>
      </w:r>
      <w:r>
        <w:t xml:space="preserve"> — Portail Eco Browser cartographie tout le contenu, croise les analytics, identifie les pages obsoletes ou redondantes.</w:t>
      </w:r>
    </w:p>
    <w:p>
      <w:pPr>
        <w:pStyle w:val="ListBullet"/>
      </w:pPr>
      <w:r>
        <w:rPr>
          <w:b/>
        </w:rPr>
        <w:t>Coherence de marque</w:t>
      </w:r>
      <w:r>
        <w:t xml:space="preserve"> — ChartsBuilder, LimeSurvey DSFR, organigrammes : l'identite visuelle de l'Etat portee sur chaque point de contact.</w:t>
      </w:r>
    </w:p>
    <w:p>
      <w:pPr>
        <w:pStyle w:val="ListBullet"/>
      </w:pPr>
      <w:r>
        <w:rPr>
          <w:b/>
        </w:rPr>
        <w:t>Contenus engageants</w:t>
      </w:r>
      <w:r>
        <w:t xml:space="preserve"> — Comparateurs, dataviz, cartes interactives : des contenus a forte valeur pour le portail et les citoyens.</w:t>
      </w:r>
    </w:p>
    <w:p>
      <w:pPr>
        <w:pStyle w:val="Heading2"/>
      </w:pPr>
      <w:r>
        <w:t>Accessibilite : un chantier taille pour l'IA</w:t>
      </w:r>
    </w:p>
    <w:p>
      <w:pPr>
        <w:pStyle w:val="ListBullet"/>
      </w:pPr>
      <w:r>
        <w:rPr>
          <w:b/>
        </w:rPr>
        <w:t>Audit automatise permanent</w:t>
      </w:r>
      <w:r>
        <w:t xml:space="preserve"> — Scan RGAA de tous les sites ministeriels en continu, pas tous les 3 ans</w:t>
      </w:r>
    </w:p>
    <w:p>
      <w:pPr>
        <w:pStyle w:val="ListBullet"/>
      </w:pPr>
      <w:r>
        <w:rPr>
          <w:b/>
        </w:rPr>
        <w:t>Correctifs generes par l'IA</w:t>
      </w:r>
      <w:r>
        <w:t xml:space="preserve"> — Chaque non-conformite accompagnee du code correctif precis (ARIA, alt, HTML)</w:t>
      </w:r>
    </w:p>
    <w:p>
      <w:pPr>
        <w:pStyle w:val="ListBullet"/>
      </w:pPr>
      <w:r>
        <w:rPr>
          <w:b/>
        </w:rPr>
        <w:t>Controle integre pour les contributeurs</w:t>
      </w:r>
      <w:r>
        <w:t xml:space="preserve"> — LeFouineur verifie l'accessibilite en temps reel pendant la redaction</w:t>
      </w:r>
    </w:p>
    <w:p>
      <w:pPr>
        <w:pStyle w:val="ListBullet"/>
      </w:pPr>
      <w:r>
        <w:rPr>
          <w:b/>
        </w:rPr>
        <w:t>Formation par l'action</w:t>
      </w:r>
      <w:r>
        <w:t xml:space="preserve"> — Chaque recommandation est une micro-formation : on apprend en corrigeant</w:t>
      </w:r>
    </w:p>
    <w:p>
      <w:pPr>
        <w:ind w:left="567"/>
      </w:pPr>
      <w:r>
        <w:t>La mission passe de prescripteur a facilitateur : elle ne dit plus seulement « corrigez », elle fournit les outils pour corriger.</w:t>
      </w:r>
    </w:p>
    <w:p>
      <w:pPr>
        <w:pStyle w:val="Heading2"/>
      </w:pPr>
      <w:r>
        <w:t>Securite et souverainete : risque nul</w:t>
      </w:r>
    </w:p>
    <w:p>
      <w:pPr>
        <w:ind w:left="567"/>
      </w:pPr>
      <w:r>
        <w:t>Code public · Donnees publiques · Usages publics</w:t>
      </w:r>
    </w:p>
    <w:p>
      <w:r>
        <w:t>Aucune donnee personnelle, aucun SI sensible, aucun secret.</w:t>
      </w:r>
    </w:p>
    <w:p>
      <w:pPr>
        <w:pStyle w:val="ListBullet"/>
      </w:pPr>
      <w:r>
        <w:rPr>
          <w:b/>
        </w:rPr>
        <w:t>Open source</w:t>
      </w:r>
      <w:r>
        <w:t xml:space="preserve"> — Tout le code publie sur GitHub — visibilite et reutilisabilite interministerielle</w:t>
      </w:r>
    </w:p>
    <w:p>
      <w:pPr>
        <w:pStyle w:val="ListBullet"/>
      </w:pPr>
      <w:r>
        <w:rPr>
          <w:b/>
        </w:rPr>
        <w:t>API publiques exclusivement</w:t>
      </w:r>
      <w:r>
        <w:t xml:space="preserve"> — data.gouv.fr, INSEE, Annuaire du service public, data.economie.gouv.fr</w:t>
      </w:r>
    </w:p>
    <w:p>
      <w:pPr>
        <w:pStyle w:val="ListBullet"/>
      </w:pPr>
      <w:r>
        <w:rPr>
          <w:b/>
        </w:rPr>
        <w:t>IA souveraine integree</w:t>
      </w:r>
      <w:r>
        <w:t xml:space="preserve"> — Albert (Etalab) utilise dans Portail Eco Browser et LimeSurvey</w:t>
      </w:r>
    </w:p>
    <w:p>
      <w:pPr>
        <w:pStyle w:val="ListBullet"/>
      </w:pPr>
      <w:r>
        <w:rPr>
          <w:b/>
        </w:rPr>
        <w:t>Deploiement cloud sans risque</w:t>
      </w:r>
      <w:r>
        <w:t xml:space="preserve"> — Conteneurs Docker portables — aucune donnee sensible hebergee</w:t>
      </w:r>
    </w:p>
    <w:p>
      <w:pPr>
        <w:pStyle w:val="Heading2"/>
      </w:pPr>
      <w:r>
        <w:t>La demande</w:t>
      </w:r>
    </w:p>
    <w:p>
      <w:pPr>
        <w:pStyle w:val="ListBullet"/>
      </w:pPr>
      <w:r>
        <w:rPr>
          <w:b/>
        </w:rPr>
        <w:t>1,5 a 3 ETP dedies</w:t>
      </w:r>
      <w:r>
        <w:t xml:space="preserve"> — Profils tech/produit qui connaissent les metiers du ministere. La premiere annee, le Lab peut fonctionner avec 1,5 ETP en mobilisant deux ou trois agents deja en poste qui consacreront d'un tiers a deux tiers de leur temps au sujet.</w:t>
      </w:r>
    </w:p>
    <w:p>
      <w:pPr>
        <w:pStyle w:val="ListBullet"/>
      </w:pPr>
      <w:r>
        <w:rPr>
          <w:b/>
        </w:rPr>
        <w:t>~1 000 €/mois de licences</w:t>
      </w:r>
      <w:r>
        <w:t xml:space="preserve"> — Claude + GitHub Copilot (~350 €/personne/mois)</w:t>
      </w:r>
    </w:p>
    <w:p>
      <w:pPr>
        <w:pStyle w:val="ListBullet"/>
      </w:pPr>
      <w:r>
        <w:rPr>
          <w:b/>
        </w:rPr>
        <w:t>0 € d'infrastructure</w:t>
      </w:r>
      <w:r>
        <w:t xml:space="preserve"> — GitHub, CI/CD, Docker : tout est deja en place</w:t>
      </w:r>
    </w:p>
    <w:p>
      <w:r>
        <w:rPr>
          <w:b/>
        </w:rPr>
        <w:t>Cout annuel licences : ~15 600 €</w:t>
      </w:r>
      <w:r>
        <w:t xml:space="preserve"> — Soit 2,4 % du cout prestataire deja evite</w:t>
      </w:r>
    </w:p>
    <w:p>
      <w:pPr>
        <w:ind w:left="567"/>
      </w:pPr>
      <w:r>
        <w:t>Le Lab s'autofinance des son premier mois.</w:t>
      </w:r>
    </w:p>
    <w:p>
      <w:pPr>
        <w:pStyle w:val="Heading2"/>
      </w:pPr>
      <w:r>
        <w:t>De l'ingenierie a l'intelligence du web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t>Aujourd'hui — Ingenierie du Web</w:t>
            </w:r>
          </w:p>
        </w:tc>
        <w:tc>
          <w:tcPr>
            <w:tcW w:type="dxa" w:w="4320"/>
          </w:tcPr>
          <w:p>
            <w:r/>
            <w:r>
              <w:t>Avec le Vibe Lab — Intelligence du Web</w:t>
            </w:r>
          </w:p>
        </w:tc>
      </w:tr>
      <w:tr>
        <w:tc>
          <w:tcPr>
            <w:tcW w:type="dxa" w:w="4320"/>
          </w:tcPr>
          <w:p>
            <w:r/>
            <w:r>
              <w:t>Maintenance</w:t>
            </w:r>
          </w:p>
        </w:tc>
        <w:tc>
          <w:tcPr>
            <w:tcW w:type="dxa" w:w="4320"/>
          </w:tcPr>
          <w:p>
            <w:r/>
            <w:r>
              <w:t>Intelligence editoriale (Portail Eco Browser)</w:t>
            </w:r>
          </w:p>
        </w:tc>
      </w:tr>
      <w:tr>
        <w:tc>
          <w:tcPr>
            <w:tcW w:type="dxa" w:w="4320"/>
          </w:tcPr>
          <w:p>
            <w:r/>
            <w:r>
              <w:t>Mise en conformite</w:t>
            </w:r>
          </w:p>
        </w:tc>
        <w:tc>
          <w:tcPr>
            <w:tcW w:type="dxa" w:w="4320"/>
          </w:tcPr>
          <w:p>
            <w:r/>
            <w:r>
              <w:t>Intelligence de gouvernance (Ecosysteme)</w:t>
            </w:r>
          </w:p>
        </w:tc>
      </w:tr>
      <w:tr>
        <w:tc>
          <w:tcPr>
            <w:tcW w:type="dxa" w:w="4320"/>
          </w:tcPr>
          <w:p>
            <w:r/>
            <w:r>
              <w:t>Coordination editoriale</w:t>
            </w:r>
          </w:p>
        </w:tc>
        <w:tc>
          <w:tcPr>
            <w:tcW w:type="dxa" w:w="4320"/>
          </w:tcPr>
          <w:p>
            <w:r/>
            <w:r>
              <w:t>Intelligence du design (Prototypage, UX, tests)</w:t>
            </w:r>
          </w:p>
        </w:tc>
      </w:tr>
      <w:tr>
        <w:tc>
          <w:tcPr>
            <w:tcW w:type="dxa" w:w="4320"/>
          </w:tcPr>
          <w:p>
            <w:r/>
            <w:r>
              <w:t>Suivi prestataire</w:t>
            </w:r>
          </w:p>
        </w:tc>
        <w:tc>
          <w:tcPr>
            <w:tcW w:type="dxa" w:w="4320"/>
          </w:tcPr>
          <w:p>
            <w:r/>
            <w:r>
              <w:t>Intelligence de l'accessibilite (Audit IA, corrections)</w:t>
            </w:r>
          </w:p>
        </w:tc>
      </w:tr>
    </w:tbl>
    <w:p>
      <w:pPr>
        <w:pStyle w:val="Heading2"/>
      </w:pPr>
      <w:r>
        <w:t>Conclusion</w:t>
      </w:r>
    </w:p>
    <w:p>
      <w:pPr>
        <w:ind w:left="567"/>
      </w:pPr>
      <w:r>
        <w:t>Structurer le Vibe Lab, c'est transformer une initiative personnelle en capacite institutionnelle.</w:t>
      </w:r>
    </w:p>
    <w:p>
      <w:pPr>
        <w:pStyle w:val="ListBullet"/>
      </w:pPr>
      <w:r>
        <w:rPr>
          <w:b/>
        </w:rPr>
        <w:t>16 outils produits</w:t>
      </w:r>
    </w:p>
    <w:p>
      <w:pPr>
        <w:pStyle w:val="ListBullet"/>
      </w:pPr>
      <w:r>
        <w:rPr>
          <w:b/>
        </w:rPr>
        <w:t>88 % d'economie demontree</w:t>
      </w:r>
    </w:p>
    <w:p>
      <w:pPr>
        <w:pStyle w:val="ListBullet"/>
      </w:pPr>
      <w:r>
        <w:rPr>
          <w:b/>
        </w:rPr>
        <w:t>1,5 a 3 ETP + 1 000 €/mois</w:t>
      </w:r>
    </w:p>
    <w:p>
      <w:pPr>
        <w:pStyle w:val="ListBullet"/>
      </w:pPr>
      <w:r>
        <w:rPr>
          <w:b/>
        </w:rPr>
        <w:t>ROI immediat</w:t>
      </w:r>
    </w:p>
    <w:p>
      <w:r>
        <w:t>Bertrand Matge — MIWEB / SNUM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Marianne" w:hAnsi="Marianne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