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5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FICHE DE GOUVERNANCE</w:t>
            </w:r>
          </w:p>
          <w:p>
            <w:pPr>
              <w:spacing w:after="100"/>
            </w:pPr>
            <w:r>
              <w:rPr>
                <w:rFonts w:ascii="Marianne" w:cs="Marianne" w:eastAsia="Marianne" w:hAnsi="Marianne"/>
                <w:b/>
                <w:bCs/>
                <w:color w:val="FFFFFF"/>
                <w:sz w:val="40"/>
                <w:szCs w:val="40"/>
              </w:rPr>
              <w:t xml:space="preserve">Vibe Lab</w:t>
            </w:r>
          </w:p>
          <w:p>
            <w:pPr>
              <w:spacing w:after="80"/>
            </w:pPr>
            <w:r>
              <w:rPr>
                <w:rFonts w:ascii="Marianne" w:cs="Marianne" w:eastAsia="Marianne" w:hAnsi="Marianne"/>
                <w:color w:val="E3E3FD"/>
                <w:sz w:val="22"/>
                <w:szCs w:val="22"/>
              </w:rPr>
              <w:t xml:space="preserve">Cycle de vie des projets, instances,
articulation BercyHub</w:t>
            </w:r>
          </w:p>
        </w:tc>
      </w:tr>
    </w:tbl>
    <w:p>
      <w:pPr>
        <w:spacing w:before="300" w:after="0"/>
      </w:pPr>
    </w:p>
    <w:p>
      <w:pPr>
        <w:spacing w:after="60"/>
      </w:pPr>
      <w:r>
        <w:rPr>
          <w:rFonts w:ascii="Marianne" w:cs="Marianne" w:eastAsia="Marianne" w:hAnsi="Marianne"/>
          <w:b/>
          <w:bCs/>
          <w:color w:val="3A3A3A"/>
          <w:sz w:val="22"/>
          <w:szCs w:val="22"/>
        </w:rPr>
        <w:t xml:space="preserve">Vibe Lab — MIWEB / SNUM</w:t>
      </w:r>
    </w:p>
    <w:p>
      <w:pPr>
        <w:spacing w:after="60"/>
      </w:pPr>
      <w:r>
        <w:rPr>
          <w:rFonts w:ascii="Marianne" w:cs="Marianne" w:eastAsia="Marianne" w:hAnsi="Marianne"/>
          <w:color w:val="666666"/>
          <w:sz w:val="21"/>
          <w:szCs w:val="21"/>
        </w:rPr>
        <w:t xml:space="preserve">Ministère de l’Économie et des Finances — 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Ce document définit les règles de fonctionnement du Vibe Lab : comment les projets entrent, vivent, sont évalués et meurent. Une gouvernance légère, adaptée à un laboratoire d’expérimentation, pas à un programme informatique.</w:t>
            </w:r>
          </w:p>
        </w:tc>
      </w:tr>
    </w:tbl>
    <w:p>
      <w:pPr>
        <w:sectPr>
          <w:pgSz w:w="11906" w:h="16838" w:orient="portrait"/>
          <w:pgMar w:top="1440" w:right="1440" w:bottom="1440" w:left="1440" w:header="708" w:footer="708" w:gutter="0"/>
          <w:pgNumType/>
          <w:docGrid w:linePitch="360"/>
        </w:sectPr>
      </w:pPr>
    </w:p>
    <w:p>
      <w:pPr>
        <w:pStyle w:val="Heading1"/>
        <w:spacing w:before="400" w:after="200"/>
      </w:pPr>
      <w:r>
        <w:rPr>
          <w:rFonts w:ascii="Marianne" w:cs="Marianne" w:eastAsia="Marianne" w:hAnsi="Marianne"/>
          <w:b/>
          <w:bCs/>
          <w:color w:val="000091"/>
          <w:sz w:val="32"/>
          <w:szCs w:val="32"/>
        </w:rPr>
        <w:t xml:space="preserve">1. Principes de gouvernance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Le Vibe Lab est un laboratoire, pas un programme. Sa gouvernance est conçue pour être légère, rapide et transparente. Elle repose sur trois principes :</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1. Décider vite — un projet entre ou sort en une réunion, pas en trois mois</w:t>
            </w:r>
          </w:p>
          <w:p>
            <w:pPr>
              <w:spacing w:before="40" w:after="40" w:line="276"/>
            </w:pPr>
            <w:r>
              <w:rPr>
                <w:rFonts w:ascii="Marianne" w:cs="Marianne" w:eastAsia="Marianne" w:hAnsi="Marianne"/>
                <w:b/>
                <w:bCs/>
                <w:color w:val="3A3A3A"/>
                <w:sz w:val="21"/>
                <w:szCs w:val="21"/>
              </w:rPr>
              <w:t xml:space="preserve">2. Rendre des comptes — chaque projet a des métriques, chaque trimestre a un bilan</w:t>
            </w:r>
          </w:p>
          <w:p>
            <w:pPr>
              <w:spacing w:before="40" w:after="40" w:line="276"/>
            </w:pPr>
            <w:r>
              <w:rPr>
                <w:rFonts w:ascii="Marianne" w:cs="Marianne" w:eastAsia="Marianne" w:hAnsi="Marianne"/>
                <w:b/>
                <w:bCs/>
                <w:color w:val="3A3A3A"/>
                <w:sz w:val="21"/>
                <w:szCs w:val="21"/>
              </w:rPr>
              <w:t xml:space="preserve">3. Ne pas empiler — le Lab porte 3 à 5 projets actifs maximum à la fois</w:t>
            </w:r>
          </w:p>
        </w:tc>
      </w:tr>
    </w:tbl>
    <w:p>
      <w:pPr>
        <w:pStyle w:val="Heading1"/>
        <w:spacing w:before="400" w:after="200"/>
      </w:pPr>
      <w:r>
        <w:rPr>
          <w:rFonts w:ascii="Marianne" w:cs="Marianne" w:eastAsia="Marianne" w:hAnsi="Marianne"/>
          <w:b/>
          <w:bCs/>
          <w:color w:val="000091"/>
          <w:sz w:val="32"/>
          <w:szCs w:val="32"/>
        </w:rPr>
        <w:t xml:space="preserve">2. Instances</w:t>
      </w:r>
    </w:p>
    <w:p>
      <w:pPr>
        <w:pStyle w:val="Heading2"/>
        <w:spacing w:before="300" w:after="140"/>
      </w:pPr>
      <w:r>
        <w:rPr>
          <w:rFonts w:ascii="Marianne" w:cs="Marianne" w:eastAsia="Marianne" w:hAnsi="Marianne"/>
          <w:b/>
          <w:bCs/>
          <w:color w:val="000091"/>
          <w:sz w:val="26"/>
          <w:szCs w:val="26"/>
        </w:rPr>
        <w:t xml:space="preserve">2.1 Comité de priorisation mensuel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985"/>
        <w:gridCol w:w="7041"/>
      </w:tblGrid>
      <w:tr>
        <w:tc>
          <w:tcPr>
            <w:tcW w:type="dxa" w:w="1985"/>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Fréquence</w:t>
            </w:r>
          </w:p>
        </w:tc>
        <w:tc>
          <w:tcPr>
            <w:tcW w:type="dxa" w:w="704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Mensuel — 30 minutes maximum</w:t>
            </w:r>
          </w:p>
        </w:tc>
      </w:tr>
      <w:tr>
        <w:tc>
          <w:tcPr>
            <w:tcW w:type="dxa" w:w="1985"/>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Participants</w:t>
            </w:r>
          </w:p>
        </w:tc>
        <w:tc>
          <w:tcPr>
            <w:tcW w:type="dxa" w:w="7041"/>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Responsable Vibe Lab + 1 représentant par direction sponsor (DRH, DAF, DIRCOM, DSI selon périmètre actif)</w:t>
            </w:r>
          </w:p>
        </w:tc>
      </w:tr>
      <w:tr>
        <w:tc>
          <w:tcPr>
            <w:tcW w:type="dxa" w:w="1985"/>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Ordre du jour</w:t>
            </w:r>
          </w:p>
        </w:tc>
        <w:tc>
          <w:tcPr>
            <w:tcW w:type="dxa" w:w="704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1. Revue des projets actifs (5 min/projet) — 2. Propositions de nouveaux projets — 3. Arbitrage entrées/sorties</w:t>
            </w:r>
          </w:p>
        </w:tc>
      </w:tr>
      <w:tr>
        <w:tc>
          <w:tcPr>
            <w:tcW w:type="dxa" w:w="1985"/>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Livrable</w:t>
            </w:r>
          </w:p>
        </w:tc>
        <w:tc>
          <w:tcPr>
            <w:tcW w:type="dxa" w:w="7041"/>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Backlog mis à jour, avec statut de chaque projet (actif / en attente / abandonné / pérennisé)</w:t>
            </w:r>
          </w:p>
        </w:tc>
      </w:tr>
      <w:tr>
        <w:tc>
          <w:tcPr>
            <w:tcW w:type="dxa" w:w="1985"/>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Règle</w:t>
            </w:r>
          </w:p>
        </w:tc>
        <w:tc>
          <w:tcPr>
            <w:tcW w:type="dxa" w:w="704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Si un projet n’a pas de sponsor métier présent, il ne rentre pas dans le backlog</w:t>
            </w:r>
          </w:p>
        </w:tc>
      </w:tr>
    </w:tbl>
    <w:p>
      <w:pPr>
        <w:spacing w:before="160" w:after="0"/>
      </w:pPr>
    </w:p>
    <w:p>
      <w:pPr>
        <w:pStyle w:val="Heading2"/>
        <w:spacing w:before="300" w:after="140"/>
      </w:pPr>
      <w:r>
        <w:rPr>
          <w:rFonts w:ascii="Marianne" w:cs="Marianne" w:eastAsia="Marianne" w:hAnsi="Marianne"/>
          <w:b/>
          <w:bCs/>
          <w:color w:val="000091"/>
          <w:sz w:val="26"/>
          <w:szCs w:val="26"/>
        </w:rPr>
        <w:t xml:space="preserve">2.2 Revue trimestrielle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985"/>
        <w:gridCol w:w="7041"/>
      </w:tblGrid>
      <w:tr>
        <w:tc>
          <w:tcPr>
            <w:tcW w:type="dxa" w:w="1985"/>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Fréquence</w:t>
            </w:r>
          </w:p>
        </w:tc>
        <w:tc>
          <w:tcPr>
            <w:tcW w:type="dxa" w:w="704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Trimestriel — 1 heure</w:t>
            </w:r>
          </w:p>
        </w:tc>
      </w:tr>
      <w:tr>
        <w:tc>
          <w:tcPr>
            <w:tcW w:type="dxa" w:w="1985"/>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Participants</w:t>
            </w:r>
          </w:p>
        </w:tc>
        <w:tc>
          <w:tcPr>
            <w:tcW w:type="dxa" w:w="7041"/>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SNUM (n+2) + directions concernées + BercyHub (optionnel)</w:t>
            </w:r>
          </w:p>
        </w:tc>
      </w:tr>
      <w:tr>
        <w:tc>
          <w:tcPr>
            <w:tcW w:type="dxa" w:w="1985"/>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Contenu</w:t>
            </w:r>
          </w:p>
        </w:tc>
        <w:tc>
          <w:tcPr>
            <w:tcW w:type="dxa" w:w="704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Bilan chiffré du trimestre : projets livrés, KPI, coûts évités, retours utilisateurs, projets abandonnés (et pourquoi)</w:t>
            </w:r>
          </w:p>
        </w:tc>
      </w:tr>
      <w:tr>
        <w:tc>
          <w:tcPr>
            <w:tcW w:type="dxa" w:w="1985"/>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Décisions</w:t>
            </w:r>
          </w:p>
        </w:tc>
        <w:tc>
          <w:tcPr>
            <w:tcW w:type="dxa" w:w="7041"/>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Pérennisation de projets matures, transferts vers BercyHub, ouverture de nouveaux périmètres</w:t>
            </w:r>
          </w:p>
        </w:tc>
      </w:tr>
    </w:tbl>
    <w:p>
      <w:pPr>
        <w:spacing w:before="160" w:after="0"/>
      </w:pPr>
    </w:p>
    <w:p>
      <w:pPr>
        <w:pStyle w:val="Heading2"/>
        <w:spacing w:before="300" w:after="140"/>
      </w:pPr>
      <w:r>
        <w:rPr>
          <w:rFonts w:ascii="Marianne" w:cs="Marianne" w:eastAsia="Marianne" w:hAnsi="Marianne"/>
          <w:b/>
          <w:bCs/>
          <w:color w:val="000091"/>
          <w:sz w:val="26"/>
          <w:szCs w:val="26"/>
        </w:rPr>
        <w:t xml:space="preserve">2.3 Point BercyHub</w:t>
      </w:r>
    </w:p>
    <w:p>
      <w:pPr>
        <w:spacing w:before="80" w:after="80" w:line="276"/>
        <w:jc w:val="both"/>
      </w:pPr>
      <w:r>
        <w:rPr>
          <w:rFonts w:ascii="Marianne" w:cs="Marianne" w:eastAsia="Marianne" w:hAnsi="Marianne"/>
          <w:color w:val="3A3A3A"/>
          <w:sz w:val="21"/>
          <w:szCs w:val="21"/>
        </w:rPr>
        <w:t xml:space="preserve">Un point trimestriel dédié avec l’équipe BercyHub pour partager les projets en cours, identifier les transferts possibles, et éviter tout chevauchement de périmètre. Ce point peut être couplé à la revue trimestrielle.</w:t>
      </w:r>
    </w:p>
    <w:p>
      <w:r>
        <w:br w:type="page"/>
      </w:r>
    </w:p>
    <w:p>
      <w:pPr>
        <w:pStyle w:val="Heading1"/>
        <w:spacing w:before="400" w:after="200"/>
      </w:pPr>
      <w:r>
        <w:rPr>
          <w:rFonts w:ascii="Marianne" w:cs="Marianne" w:eastAsia="Marianne" w:hAnsi="Marianne"/>
          <w:b/>
          <w:bCs/>
          <w:color w:val="000091"/>
          <w:sz w:val="32"/>
          <w:szCs w:val="32"/>
        </w:rPr>
        <w:t xml:space="preserve">3. Cycle de vie d’un projet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624"/>
        <w:gridCol w:w="5235"/>
        <w:gridCol w:w="2167"/>
      </w:tblGrid>
      <w:tr>
        <w:tc>
          <w:tcPr>
            <w:tcW w:type="dxa" w:w="1624"/>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Phase</w:t>
            </w:r>
          </w:p>
        </w:tc>
        <w:tc>
          <w:tcPr>
            <w:tcW w:type="dxa" w:w="5235"/>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Description</w:t>
            </w:r>
          </w:p>
        </w:tc>
        <w:tc>
          <w:tcPr>
            <w:tcW w:type="dxa" w:w="216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Durée</w:t>
            </w:r>
          </w:p>
        </w:tc>
      </w:tr>
      <w:tr>
        <w:tc>
          <w:tcPr>
            <w:tcW w:type="dxa" w:w="1624"/>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1. Demande</w:t>
            </w:r>
          </w:p>
        </w:tc>
        <w:tc>
          <w:tcPr>
            <w:tcW w:type="dxa" w:w="523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Un besoin est identifié par un métier. Un sponsor est nommé.</w:t>
            </w:r>
          </w:p>
        </w:tc>
        <w:tc>
          <w:tcPr>
            <w:tcW w:type="dxa" w:w="216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1 semaine</w:t>
            </w:r>
          </w:p>
        </w:tc>
      </w:tr>
      <w:tr>
        <w:tc>
          <w:tcPr>
            <w:tcW w:type="dxa" w:w="1624"/>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2. Évaluation</w:t>
            </w:r>
          </w:p>
        </w:tc>
        <w:tc>
          <w:tcPr>
            <w:tcW w:type="dxa" w:w="5235"/>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Lab vérifie la faisabilité : données disponibles, périmètre Vibe Lab (pas BercyHub), pas de solution existante.</w:t>
            </w:r>
          </w:p>
        </w:tc>
        <w:tc>
          <w:tcPr>
            <w:tcW w:type="dxa" w:w="2167"/>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2-3 jours</w:t>
            </w:r>
          </w:p>
        </w:tc>
      </w:tr>
      <w:tr>
        <w:tc>
          <w:tcPr>
            <w:tcW w:type="dxa" w:w="1624"/>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3. Prototype</w:t>
            </w:r>
          </w:p>
        </w:tc>
        <w:tc>
          <w:tcPr>
            <w:tcW w:type="dxa" w:w="523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Développement du prototype fonctionnel. DSFR, tests, données réelles.</w:t>
            </w:r>
          </w:p>
        </w:tc>
        <w:tc>
          <w:tcPr>
            <w:tcW w:type="dxa" w:w="216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1-2 semaines</w:t>
            </w:r>
          </w:p>
        </w:tc>
      </w:tr>
      <w:tr>
        <w:tc>
          <w:tcPr>
            <w:tcW w:type="dxa" w:w="1624"/>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4. Test</w:t>
            </w:r>
          </w:p>
        </w:tc>
        <w:tc>
          <w:tcPr>
            <w:tcW w:type="dxa" w:w="5235"/>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Mise en situation avec 5-20 utilisateurs réels. Collecte des retours.</w:t>
            </w:r>
          </w:p>
        </w:tc>
        <w:tc>
          <w:tcPr>
            <w:tcW w:type="dxa" w:w="2167"/>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1-2 semaines</w:t>
            </w:r>
          </w:p>
        </w:tc>
      </w:tr>
      <w:tr>
        <w:tc>
          <w:tcPr>
            <w:tcW w:type="dxa" w:w="1624"/>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5. Itération</w:t>
            </w:r>
          </w:p>
        </w:tc>
        <w:tc>
          <w:tcPr>
            <w:tcW w:type="dxa" w:w="5235"/>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Amélioration sur la base des retours. Cycles courts (jours).</w:t>
            </w:r>
          </w:p>
        </w:tc>
        <w:tc>
          <w:tcPr>
            <w:tcW w:type="dxa" w:w="2167"/>
            <w:tcBorders>
              <w:top w:val="single" w:color="DDDDDD" w:sz="1"/>
              <w:left w:val="single" w:color="DDDDDD" w:sz="1"/>
              <w:bottom w:val="single" w:color="DDDDDD" w:sz="1"/>
              <w:right w:val="single" w:color="DDDDDD" w:sz="1"/>
            </w:tcBorders>
            <w:shd w:fill="E3E3FD"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1-4 semaines</w:t>
            </w:r>
          </w:p>
        </w:tc>
      </w:tr>
      <w:tr>
        <w:tc>
          <w:tcPr>
            <w:tcW w:type="dxa" w:w="1624"/>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6. Décision</w:t>
            </w:r>
          </w:p>
        </w:tc>
        <w:tc>
          <w:tcPr>
            <w:tcW w:type="dxa" w:w="5235"/>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Pérenniser, transférer à BercyHub, ou abandonner.</w:t>
            </w:r>
          </w:p>
        </w:tc>
        <w:tc>
          <w:tcPr>
            <w:tcW w:type="dxa" w:w="2167"/>
            <w:tcBorders>
              <w:top w:val="single" w:color="DDDDDD" w:sz="1"/>
              <w:left w:val="single" w:color="DDDDDD" w:sz="1"/>
              <w:bottom w:val="single" w:color="DDDDDD" w:sz="1"/>
              <w:right w:val="single" w:color="DDDDDD" w:sz="1"/>
            </w:tcBorders>
            <w:shd w:fill="FFFFFF"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Comité mensuel</w:t>
            </w:r>
          </w:p>
        </w:tc>
      </w:tr>
    </w:tbl>
    <w:p>
      <w:pPr>
        <w:spacing w:before="120" w:after="0"/>
      </w:pPr>
    </w:p>
    <w:p>
      <w:pPr>
        <w:spacing w:before="80" w:after="80" w:line="276"/>
        <w:jc w:val="both"/>
      </w:pPr>
      <w:r>
        <w:rPr>
          <w:rFonts w:ascii="Marianne" w:cs="Marianne" w:eastAsia="Marianne" w:hAnsi="Marianne"/>
          <w:b/>
          <w:bCs/>
          <w:color w:val="3A3A3A"/>
          <w:sz w:val="21"/>
          <w:szCs w:val="21"/>
        </w:rPr>
        <w:t xml:space="preserve">Durée totale typique d’un cycle complet : 4 à 8 semaines, de la demande à la décision.</w:t>
      </w:r>
    </w:p>
    <w:p>
      <w:pPr>
        <w:pStyle w:val="Heading1"/>
        <w:spacing w:before="400" w:after="200"/>
      </w:pPr>
      <w:r>
        <w:rPr>
          <w:rFonts w:ascii="Marianne" w:cs="Marianne" w:eastAsia="Marianne" w:hAnsi="Marianne"/>
          <w:b/>
          <w:bCs/>
          <w:color w:val="000091"/>
          <w:sz w:val="32"/>
          <w:szCs w:val="32"/>
        </w:rPr>
        <w:t xml:space="preserve">4. Rôles et responsabilités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3610"/>
        <w:gridCol w:w="3160"/>
      </w:tblGrid>
      <w:tr>
        <w:tc>
          <w:tcPr>
            <w:tcW w:type="dxa" w:w="2256"/>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Rôle</w:t>
            </w:r>
          </w:p>
        </w:tc>
        <w:tc>
          <w:tcPr>
            <w:tcW w:type="dxa" w:w="3610"/>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Responsabilités</w:t>
            </w:r>
          </w:p>
        </w:tc>
        <w:tc>
          <w:tcPr>
            <w:tcW w:type="dxa" w:w="3160"/>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Rattachement</w:t>
            </w:r>
          </w:p>
        </w:tc>
      </w:tr>
      <w:tr>
        <w:tc>
          <w:tcPr>
            <w:tcW w:type="dxa" w:w="225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Responsable Vibe Lab</w:t>
            </w:r>
          </w:p>
        </w:tc>
        <w:tc>
          <w:tcPr>
            <w:tcW w:type="dxa" w:w="361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Priorise le backlog, produit les prototypes, anime les instances, rend compte des résultats</w:t>
            </w:r>
          </w:p>
        </w:tc>
        <w:tc>
          <w:tcPr>
            <w:tcW w:type="dxa" w:w="316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MIWEB</w:t>
            </w:r>
          </w:p>
        </w:tc>
      </w:tr>
      <w:tr>
        <w:tc>
          <w:tcPr>
            <w:tcW w:type="dxa" w:w="225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Sponsor métier</w:t>
            </w:r>
          </w:p>
        </w:tc>
        <w:tc>
          <w:tcPr>
            <w:tcW w:type="dxa" w:w="361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Porte le besoin, valide les orientations, fournit les utilisateurs testeurs, décide de la pérennisation</w:t>
            </w:r>
          </w:p>
        </w:tc>
        <w:tc>
          <w:tcPr>
            <w:tcW w:type="dxa" w:w="316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Direction concernée</w:t>
            </w:r>
          </w:p>
        </w:tc>
      </w:tr>
      <w:tr>
        <w:tc>
          <w:tcPr>
            <w:tcW w:type="dxa" w:w="225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SNUM (n+2)</w:t>
            </w:r>
          </w:p>
        </w:tc>
        <w:tc>
          <w:tcPr>
            <w:tcW w:type="dxa" w:w="361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Valide le cadre général, arbitre les priorités stratégiques, porte le Lab auprès du SG</w:t>
            </w:r>
          </w:p>
        </w:tc>
        <w:tc>
          <w:tcPr>
            <w:tcW w:type="dxa" w:w="3160"/>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Direction SNUM</w:t>
            </w:r>
          </w:p>
        </w:tc>
      </w:tr>
      <w:tr>
        <w:tc>
          <w:tcPr>
            <w:tcW w:type="dxa" w:w="225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Référent BercyHub</w:t>
            </w:r>
          </w:p>
        </w:tc>
        <w:tc>
          <w:tcPr>
            <w:tcW w:type="dxa" w:w="361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Vérifie l’absence de chevauchement, identifie les transferts, partage les retours d’expérience</w:t>
            </w:r>
          </w:p>
        </w:tc>
        <w:tc>
          <w:tcPr>
            <w:tcW w:type="dxa" w:w="3160"/>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BercyHub</w:t>
            </w:r>
          </w:p>
        </w:tc>
      </w:tr>
    </w:tbl>
    <w:p>
      <w:pPr>
        <w:pStyle w:val="Heading1"/>
        <w:spacing w:before="400" w:after="200"/>
      </w:pPr>
      <w:r>
        <w:rPr>
          <w:rFonts w:ascii="Marianne" w:cs="Marianne" w:eastAsia="Marianne" w:hAnsi="Marianne"/>
          <w:b/>
          <w:bCs/>
          <w:color w:val="000091"/>
          <w:sz w:val="32"/>
          <w:szCs w:val="32"/>
        </w:rPr>
        <w:t xml:space="preserve">5. Règles cardinales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AAAAAA" w:sz="12"/>
              <w:bottom w:val="none"/>
              <w:right w:val="none"/>
            </w:tcBorders>
            <w:shd w:fill="F6F6F6"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1. Pas de projet sans sponsor métier identifié</w:t>
            </w:r>
          </w:p>
          <w:p>
            <w:pPr>
              <w:spacing w:before="40" w:after="40" w:line="276"/>
            </w:pPr>
            <w:r>
              <w:rPr>
                <w:rFonts w:ascii="Marianne" w:cs="Marianne" w:eastAsia="Marianne" w:hAnsi="Marianne"/>
                <w:i/>
                <w:iCs/>
                <w:color w:val="3A3A3A"/>
                <w:sz w:val="21"/>
                <w:szCs w:val="21"/>
              </w:rPr>
              <w:t xml:space="preserve">Si personne ne porte le besoin côté métier, le Lab ne démarre pas. Un outil sans utilisateur est un gadget.</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2. Pas de projet hors périmètre</w:t>
            </w:r>
          </w:p>
          <w:p>
            <w:pPr>
              <w:spacing w:before="40" w:after="40" w:line="276"/>
            </w:pPr>
            <w:r>
              <w:rPr>
                <w:rFonts w:ascii="Marianne" w:cs="Marianne" w:eastAsia="Marianne" w:hAnsi="Marianne"/>
                <w:i/>
                <w:iCs/>
                <w:color w:val="3A3A3A"/>
                <w:sz w:val="21"/>
                <w:szCs w:val="21"/>
              </w:rPr>
              <w:t xml:space="preserve">Données personnelles, SI métier, homologation requise → BercyHub. Pas d’exception.</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3. Maximum 5 projets actifs simultanément</w:t>
            </w:r>
          </w:p>
          <w:p>
            <w:pPr>
              <w:spacing w:before="40" w:after="40" w:line="276"/>
            </w:pPr>
            <w:r>
              <w:rPr>
                <w:rFonts w:ascii="Marianne" w:cs="Marianne" w:eastAsia="Marianne" w:hAnsi="Marianne"/>
                <w:i/>
                <w:iCs/>
                <w:color w:val="3A3A3A"/>
                <w:sz w:val="21"/>
                <w:szCs w:val="21"/>
              </w:rPr>
              <w:t xml:space="preserve">Au-delà, la qualité baisse. Un nouveau projet entre quand un autre sort.</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4. Un projet sans usage à 4 semaines est abandonné</w:t>
            </w:r>
          </w:p>
          <w:p>
            <w:pPr>
              <w:spacing w:before="40" w:after="40" w:line="276"/>
            </w:pPr>
            <w:r>
              <w:rPr>
                <w:rFonts w:ascii="Marianne" w:cs="Marianne" w:eastAsia="Marianne" w:hAnsi="Marianne"/>
                <w:i/>
                <w:iCs/>
                <w:color w:val="3A3A3A"/>
                <w:sz w:val="21"/>
                <w:szCs w:val="21"/>
              </w:rPr>
              <w:t xml:space="preserve">Si après un mois de mise à disposition personne ne l’utilise, on arrête. Coût engagé : quelques jours. Leçon apprise : inestimable.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color w:val="3A3A3A"/>
                <w:sz w:val="21"/>
                <w:szCs w:val="21"/>
              </w:rPr>
              <w:t xml:space="preserve">5. Tout est public</w:t>
            </w:r>
          </w:p>
          <w:p>
            <w:pPr>
              <w:spacing w:before="40" w:after="40" w:line="276"/>
            </w:pPr>
            <w:r>
              <w:rPr>
                <w:rFonts w:ascii="Marianne" w:cs="Marianne" w:eastAsia="Marianne" w:hAnsi="Marianne"/>
                <w:i/>
                <w:iCs/>
                <w:color w:val="3A3A3A"/>
                <w:sz w:val="21"/>
                <w:szCs w:val="21"/>
              </w:rPr>
              <w:t xml:space="preserve">Code sur GitHub, métriques dans le tableau de bord, bilans dans la revue trimestrielle. La transparence est la meilleure protection.</w:t>
            </w:r>
          </w:p>
        </w:tc>
      </w:tr>
    </w:tbl>
    <w:p>
      <w:pPr>
        <w:pStyle w:val="Heading1"/>
        <w:spacing w:before="400" w:after="200"/>
      </w:pPr>
      <w:r>
        <w:rPr>
          <w:rFonts w:ascii="Marianne" w:cs="Marianne" w:eastAsia="Marianne" w:hAnsi="Marianne"/>
          <w:b/>
          <w:bCs/>
          <w:color w:val="000091"/>
          <w:sz w:val="32"/>
          <w:szCs w:val="32"/>
        </w:rPr>
        <w:t xml:space="preserve">6. Application : ExcelExit comme premier projet du backlog élargi</w:t>
      </w:r>
    </w:p>
    <w:p>
      <w:pPr>
        <w:spacing w:after="160" w:line="276"/>
      </w:pPr>
      <w:r>
        <w:rPr>
          <w:rFonts w:ascii="Marianne" w:cs="Marianne" w:eastAsia="Marianne" w:hAnsi="Marianne"/>
          <w:color w:val="3A3A3A"/>
          <w:sz w:val="21"/>
          <w:szCs w:val="21"/>
        </w:rPr>
        <w:t xml:space="preserve">Le projet ExcelExit — migration systématique des fichiers Excel critiques vers Grist (grist.numerique.gouv.fr) — est le premier projet à avoir été évalué sur la grille de priorisation du Vibe Lab. Avec un score de 47/50 (le plus élevé de tous les projets évalués), il entre en priorité dans le backlog. Il répond à tous les critères d’entrée : sponsor métier identifié (toute direction possédant des Excel critiques), données publiques ou agrégées, hors périmètre BercyHub (les fichiers de niveau 4 contenant des données sensibles sont explicitement exclus et signalés à BercyHub), pas de solution existante, prototypable en 2 semaines. ExcelExit illustre l’application concrète du cycle de vie et des règles cardinales définis dans cette fiche de gouvernance.</w:t>
      </w:r>
    </w:p>
    <w:p>
      <w:pPr>
        <w:pStyle w:val="Heading1"/>
        <w:spacing w:before="400" w:after="200"/>
      </w:pPr>
      <w:r>
        <w:rPr>
          <w:rFonts w:ascii="Marianne" w:cs="Marianne" w:eastAsia="Marianne" w:hAnsi="Marianne"/>
          <w:b/>
          <w:bCs/>
          <w:color w:val="000091"/>
          <w:sz w:val="32"/>
          <w:szCs w:val="32"/>
        </w:rPr>
        <w:t xml:space="preserve">7. Documents associés</w:t>
      </w:r>
    </w:p>
    <w:p>
      <w:pPr>
        <w:spacing w:after="160" w:line="276"/>
      </w:pPr>
      <w:r>
        <w:rPr>
          <w:rFonts w:ascii="Marianne" w:cs="Marianne" w:eastAsia="Marianne" w:hAnsi="Marianne"/>
          <w:color w:val="3A3A3A"/>
          <w:sz w:val="21"/>
          <w:szCs w:val="21"/>
        </w:rPr>
        <w:t xml:space="preserve">Cette fiche de gouvernance s’articule avec les documents suivants du Vibe Lab : le Manifeste (valeurs et positionnement), la Grille d’évaluation (critères d’entrée et scoring de priorisation), la Matrice des risques (8 risques identifiés et mesures d’atténuation), la note de cadrage ExcelExit (premier projet du backlog élargi), et le Plan de communication (12 semaines pour générer la demande). L’ensemble forme un dossier cohérent de structuration du Lab.</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Vibe Lab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Fiche de gouvernance — Vibe Lab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4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2026-02-21T12:58:07.381Z</dcterms:created>
  <dcterms:modified xsi:type="dcterms:W3CDTF">2026-02-21T12:58:07.382Z</dcterms:modified>
</cp:coreProperties>
</file>

<file path=docProps/custom.xml><?xml version="1.0" encoding="utf-8"?>
<Properties xmlns="http://schemas.openxmlformats.org/officeDocument/2006/custom-properties" xmlns:vt="http://schemas.openxmlformats.org/officeDocument/2006/docPropsVTypes"/>
</file>