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PLAN DE COMMUNICATION INTERNE</w:t>
            </w:r>
          </w:p>
          <w:p>
            <w:pPr>
              <w:spacing w:after="100"/>
            </w:pPr>
            <w:r>
              <w:rPr>
                <w:rFonts w:ascii="Marianne" w:cs="Marianne" w:eastAsia="Marianne" w:hAnsi="Marianne"/>
                <w:b/>
                <w:bCs/>
                <w:color w:val="FFFFFF"/>
                <w:sz w:val="40"/>
                <w:szCs w:val="40"/>
              </w:rPr>
              <w:t xml:space="preserve">Faire connaître le Vibe Lab
pour générer la demande</w:t>
            </w:r>
          </w:p>
          <w:p>
            <w:pPr>
              <w:spacing w:after="80"/>
            </w:pPr>
            <w:r>
              <w:rPr>
                <w:rFonts w:ascii="Marianne" w:cs="Marianne" w:eastAsia="Marianne" w:hAnsi="Marianne"/>
                <w:color w:val="E3E3FD"/>
                <w:sz w:val="22"/>
                <w:szCs w:val="22"/>
              </w:rPr>
              <w:t xml:space="preserve">Audiences, messages, canaux, calendrier</w:t>
            </w:r>
          </w:p>
        </w:tc>
      </w:tr>
    </w:tbl>
    <w:p>
      <w:pPr>
        <w:spacing w:before="300" w:after="0"/>
      </w:pPr>
    </w:p>
    <w:p>
      <w:pPr>
        <w:spacing w:after="60"/>
      </w:pPr>
      <w:r>
        <w:rPr>
          <w:rFonts w:ascii="Marianne" w:cs="Marianne" w:eastAsia="Marianne" w:hAnsi="Marianne"/>
          <w:b/>
          <w:bCs/>
          <w:color w:val="3A3A3A"/>
          <w:sz w:val="22"/>
          <w:szCs w:val="22"/>
        </w:rPr>
        <w:t xml:space="preserve">Vibe Lab — MIWEB / SNUM</w:t>
      </w:r>
    </w:p>
    <w:p>
      <w:pPr>
        <w:spacing w:after="60"/>
      </w:pPr>
      <w:r>
        <w:rPr>
          <w:rFonts w:ascii="Marianne" w:cs="Marianne" w:eastAsia="Marianne" w:hAnsi="Marianne"/>
          <w:color w:val="666666"/>
          <w:sz w:val="21"/>
          <w:szCs w:val="21"/>
        </w:rPr>
        <w:t xml:space="preserve">Ministère de l’Économie et des Finances — 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meilleur projet du monde échoue s’il n’est pas connu. Aujourd’hui le Vibe Lab a 8 outils en production, 663 K€ de valeur démontrée — et une poignée de personnes au courant de son existence.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Ce plan de communication vise à transformer la visibilité du Lab pour générer la demande : que chaque direction sache ce que le Lab peut faire pour elle, et que les décideurs disposent des arguments pour le soutenir.</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Diagnostic : pourquoi communiquer maintenant</w:t>
      </w:r>
    </w:p>
    <w:p>
      <w:pPr>
        <w:spacing w:before="80" w:after="80" w:line="276"/>
        <w:jc w:val="both"/>
      </w:pPr>
      <w:r>
        <w:rPr>
          <w:rFonts w:ascii="Marianne" w:cs="Marianne" w:eastAsia="Marianne" w:hAnsi="Marianne"/>
          <w:color w:val="3A3A3A"/>
          <w:sz w:val="21"/>
          <w:szCs w:val="21"/>
        </w:rPr>
        <w:t xml:space="preserve">Le Vibe Lab souffre d’un paradoxe classique des projets d’innovation interne : il a des résultats mais pas de notoriété. Les conséquences sont concrètes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790"/>
        <w:gridCol w:w="5236"/>
      </w:tblGrid>
      <w:tr>
        <w:tc>
          <w:tcPr>
            <w:tcW w:type="dxa" w:w="3790"/>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Symptôme</w:t>
            </w:r>
          </w:p>
        </w:tc>
        <w:tc>
          <w:tcPr>
            <w:tcW w:type="dxa" w:w="5236"/>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Cause</w:t>
            </w:r>
          </w:p>
        </w:tc>
      </w:tr>
      <w:tr>
        <w:tc>
          <w:tcPr>
            <w:tcW w:type="dxa" w:w="379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Les directions ne proposent pas de projets</w:t>
            </w:r>
          </w:p>
        </w:tc>
        <w:tc>
          <w:tcPr>
            <w:tcW w:type="dxa" w:w="523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Elles ne savent pas que le Lab existe ou ce qu’il peut faire pour elles</w:t>
            </w:r>
          </w:p>
        </w:tc>
      </w:tr>
      <w:tr>
        <w:tc>
          <w:tcPr>
            <w:tcW w:type="dxa" w:w="379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Le Lab choisit seul ses sujets</w:t>
            </w:r>
          </w:p>
        </w:tc>
        <w:tc>
          <w:tcPr>
            <w:tcW w:type="dxa" w:w="523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Risque de décalage avec les vrais besoins métier</w:t>
            </w:r>
          </w:p>
        </w:tc>
      </w:tr>
      <w:tr>
        <w:tc>
          <w:tcPr>
            <w:tcW w:type="dxa" w:w="379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Les décideurs ne peuvent pas le défendre</w:t>
            </w:r>
          </w:p>
        </w:tc>
        <w:tc>
          <w:tcPr>
            <w:tcW w:type="dxa" w:w="523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Ils n’ont pas les arguments face à un arbitrage budgétaire</w:t>
            </w:r>
          </w:p>
        </w:tc>
      </w:tr>
      <w:tr>
        <w:tc>
          <w:tcPr>
            <w:tcW w:type="dxa" w:w="379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BercyHub ne connaît pas les limites</w:t>
            </w:r>
          </w:p>
        </w:tc>
        <w:tc>
          <w:tcPr>
            <w:tcW w:type="dxa" w:w="523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Risque de confusion de périmètre par méconnaissance</w:t>
            </w:r>
          </w:p>
        </w:tc>
      </w:tr>
      <w:tr>
        <w:tc>
          <w:tcPr>
            <w:tcW w:type="dxa" w:w="379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Les agents ne savent pas qu’ils peuvent demander</w:t>
            </w:r>
          </w:p>
        </w:tc>
        <w:tc>
          <w:tcPr>
            <w:tcW w:type="dxa" w:w="523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Des problèmes restent non résolus alors que la solution est à portée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1"/>
                <w:szCs w:val="21"/>
              </w:rPr>
              <w:t xml:space="preserve">L’objectif n’est pas de « faire de la com’ ». C’est de générer la demande. Un Lab sans demande entrante est un Lab qui se parle à lui-même.</w:t>
            </w:r>
          </w:p>
        </w:tc>
      </w:tr>
    </w:tbl>
    <w:p>
      <w:pPr>
        <w:pStyle w:val="Heading1"/>
        <w:spacing w:before="400" w:after="200"/>
      </w:pPr>
      <w:r>
        <w:rPr>
          <w:rFonts w:ascii="Marianne" w:cs="Marianne" w:eastAsia="Marianne" w:hAnsi="Marianne"/>
          <w:b/>
          <w:bCs/>
          <w:color w:val="000091"/>
          <w:sz w:val="32"/>
          <w:szCs w:val="32"/>
        </w:rPr>
        <w:t xml:space="preserve">2. Les audiences — chacune a sa peur et son message</w:t>
      </w:r>
    </w:p>
    <w:p>
      <w:pPr>
        <w:spacing w:before="80" w:after="80" w:line="276"/>
        <w:jc w:val="both"/>
      </w:pPr>
      <w:r>
        <w:rPr>
          <w:rFonts w:ascii="Marianne" w:cs="Marianne" w:eastAsia="Marianne" w:hAnsi="Marianne"/>
          <w:color w:val="3A3A3A"/>
          <w:sz w:val="21"/>
          <w:szCs w:val="21"/>
        </w:rPr>
        <w:t xml:space="preserve">Chaque audience a un frein différent. Le même message ne fonctionne pas pour un secrétaire général et pour un chef de bureau. Le plan adapte le fond et la forme à chaque cible.</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100"/>
            </w:pPr>
            <w:r>
              <w:rPr>
                <w:rFonts w:ascii="Marianne" w:cs="Marianne" w:eastAsia="Marianne" w:hAnsi="Marianne"/>
                <w:b/>
                <w:bCs/>
                <w:color w:val="000091"/>
                <w:sz w:val="24"/>
                <w:szCs w:val="24"/>
              </w:rPr>
              <w:t xml:space="preserve">A. Direction générale / Secrétariat général</w:t>
            </w:r>
          </w:p>
          <w:p>
            <w:pPr>
              <w:spacing w:before="20" w:after="30" w:line="260"/>
            </w:pPr>
            <w:r>
              <w:rPr>
                <w:rFonts w:ascii="Marianne" w:cs="Marianne" w:eastAsia="Marianne" w:hAnsi="Marianne"/>
                <w:b/>
                <w:bCs/>
                <w:color w:val="3A3A3A"/>
                <w:sz w:val="20"/>
                <w:szCs w:val="20"/>
              </w:rPr>
              <w:t xml:space="preserve">Qui : </w:t>
            </w:r>
            <w:r>
              <w:rPr>
                <w:rFonts w:ascii="Marianne" w:cs="Marianne" w:eastAsia="Marianne" w:hAnsi="Marianne"/>
                <w:color w:val="3A3A3A"/>
                <w:sz w:val="20"/>
                <w:szCs w:val="20"/>
              </w:rPr>
              <w:t xml:space="preserve">SG, directeurs, cabinet, n+2 du SNUM</w:t>
            </w:r>
          </w:p>
          <w:p>
            <w:pPr>
              <w:spacing w:before="20" w:after="30" w:line="260"/>
            </w:pPr>
            <w:r>
              <w:rPr>
                <w:rFonts w:ascii="Marianne" w:cs="Marianne" w:eastAsia="Marianne" w:hAnsi="Marianne"/>
                <w:b/>
                <w:bCs/>
                <w:color w:val="E1000F"/>
                <w:sz w:val="20"/>
                <w:szCs w:val="20"/>
              </w:rPr>
              <w:t xml:space="preserve">Ce qu’ils redoutent : </w:t>
            </w:r>
            <w:r>
              <w:rPr>
                <w:rFonts w:ascii="Marianne" w:cs="Marianne" w:eastAsia="Marianne" w:hAnsi="Marianne"/>
                <w:color w:val="3A3A3A"/>
                <w:sz w:val="20"/>
                <w:szCs w:val="20"/>
              </w:rPr>
              <w:t xml:space="preserve">Que ça dérape (sécurité, données, image), que ça fasse doublon avec BercyHub, que ça coûte sans résultat visible</w:t>
            </w:r>
          </w:p>
          <w:p>
            <w:pPr>
              <w:spacing w:before="20" w:after="30" w:line="276"/>
            </w:pPr>
            <w:r>
              <w:rPr>
                <w:rFonts w:ascii="Marianne" w:cs="Marianne" w:eastAsia="Marianne" w:hAnsi="Marianne"/>
                <w:b/>
                <w:bCs/>
                <w:color w:val="18753C"/>
                <w:sz w:val="20"/>
                <w:szCs w:val="20"/>
              </w:rPr>
              <w:t xml:space="preserve">Le message : </w:t>
            </w:r>
            <w:r>
              <w:rPr>
                <w:rFonts w:ascii="Marianne" w:cs="Marianne" w:eastAsia="Marianne" w:hAnsi="Marianne"/>
                <w:color w:val="3A3A3A"/>
                <w:sz w:val="20"/>
                <w:szCs w:val="20"/>
              </w:rPr>
              <w:t xml:space="preserve">« Le Vibe Lab a produit 663 K€ de valeur en 6 mois, avec 1 agent et ~1 000 €/mois. Zéro donnée sensible, zéro interférence BercyHub. C’est le meilleur ratio coût/impact du ministère. »</w:t>
            </w:r>
          </w:p>
          <w:p>
            <w:pPr>
              <w:spacing w:before="20" w:after="10" w:line="260"/>
            </w:pPr>
            <w:r>
              <w:rPr>
                <w:rFonts w:ascii="Marianne" w:cs="Marianne" w:eastAsia="Marianne" w:hAnsi="Marianne"/>
                <w:b/>
                <w:bCs/>
                <w:color w:val="000091"/>
                <w:sz w:val="20"/>
                <w:szCs w:val="20"/>
              </w:rPr>
              <w:t xml:space="preserve">Le format qui convainc : </w:t>
            </w:r>
            <w:r>
              <w:rPr>
                <w:rFonts w:ascii="Marianne" w:cs="Marianne" w:eastAsia="Marianne" w:hAnsi="Marianne"/>
                <w:color w:val="3A3A3A"/>
                <w:sz w:val="20"/>
                <w:szCs w:val="20"/>
              </w:rPr>
              <w:t xml:space="preserve">Note de synthèse 2 pages (déjà produite), 10 min en comité de direction avec démo live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8753C"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100"/>
            </w:pPr>
            <w:r>
              <w:rPr>
                <w:rFonts w:ascii="Marianne" w:cs="Marianne" w:eastAsia="Marianne" w:hAnsi="Marianne"/>
                <w:b/>
                <w:bCs/>
                <w:color w:val="18753C"/>
                <w:sz w:val="24"/>
                <w:szCs w:val="24"/>
              </w:rPr>
              <w:t xml:space="preserve">B. Directions métier (DRH, DAF, DIRCOM, DSI, Immobilier)</w:t>
            </w:r>
          </w:p>
          <w:p>
            <w:pPr>
              <w:spacing w:before="20" w:after="30" w:line="260"/>
            </w:pPr>
            <w:r>
              <w:rPr>
                <w:rFonts w:ascii="Marianne" w:cs="Marianne" w:eastAsia="Marianne" w:hAnsi="Marianne"/>
                <w:b/>
                <w:bCs/>
                <w:color w:val="3A3A3A"/>
                <w:sz w:val="20"/>
                <w:szCs w:val="20"/>
              </w:rPr>
              <w:t xml:space="preserve">Qui : </w:t>
            </w:r>
            <w:r>
              <w:rPr>
                <w:rFonts w:ascii="Marianne" w:cs="Marianne" w:eastAsia="Marianne" w:hAnsi="Marianne"/>
                <w:color w:val="3A3A3A"/>
                <w:sz w:val="20"/>
                <w:szCs w:val="20"/>
              </w:rPr>
              <w:t xml:space="preserve">Directeurs et sous-directeurs, chefs de bureau, référents numériques</w:t>
            </w:r>
          </w:p>
          <w:p>
            <w:pPr>
              <w:spacing w:before="20" w:after="30" w:line="260"/>
            </w:pPr>
            <w:r>
              <w:rPr>
                <w:rFonts w:ascii="Marianne" w:cs="Marianne" w:eastAsia="Marianne" w:hAnsi="Marianne"/>
                <w:b/>
                <w:bCs/>
                <w:color w:val="E1000F"/>
                <w:sz w:val="20"/>
                <w:szCs w:val="20"/>
              </w:rPr>
              <w:t xml:space="preserve">Ce qu’ils redoutent : </w:t>
            </w:r>
            <w:r>
              <w:rPr>
                <w:rFonts w:ascii="Marianne" w:cs="Marianne" w:eastAsia="Marianne" w:hAnsi="Marianne"/>
                <w:color w:val="3A3A3A"/>
                <w:sz w:val="20"/>
                <w:szCs w:val="20"/>
              </w:rPr>
              <w:t xml:space="preserve">Que ça leur crée du travail supplémentaire, que ça ne réponde pas à leur vrai problème, que le prototype disparaisse après la démo</w:t>
            </w:r>
          </w:p>
          <w:p>
            <w:pPr>
              <w:spacing w:before="20" w:after="30" w:line="276"/>
            </w:pPr>
            <w:r>
              <w:rPr>
                <w:rFonts w:ascii="Marianne" w:cs="Marianne" w:eastAsia="Marianne" w:hAnsi="Marianne"/>
                <w:b/>
                <w:bCs/>
                <w:color w:val="18753C"/>
                <w:sz w:val="20"/>
                <w:szCs w:val="20"/>
              </w:rPr>
              <w:t xml:space="preserve">Le message : </w:t>
            </w:r>
            <w:r>
              <w:rPr>
                <w:rFonts w:ascii="Marianne" w:cs="Marianne" w:eastAsia="Marianne" w:hAnsi="Marianne"/>
                <w:color w:val="3A3A3A"/>
                <w:sz w:val="20"/>
                <w:szCs w:val="20"/>
              </w:rPr>
              <w:t xml:space="preserve">« Dites-nous votre problème, on vous montre un prototype en 2 semaines. Si ça ne sert pas, on arrête. Si ça sert, on pérennise. Vous ne risquez rien. »</w:t>
            </w:r>
          </w:p>
          <w:p>
            <w:pPr>
              <w:spacing w:before="20" w:after="10" w:line="260"/>
            </w:pPr>
            <w:r>
              <w:rPr>
                <w:rFonts w:ascii="Marianne" w:cs="Marianne" w:eastAsia="Marianne" w:hAnsi="Marianne"/>
                <w:b/>
                <w:bCs/>
                <w:color w:val="000091"/>
                <w:sz w:val="20"/>
                <w:szCs w:val="20"/>
              </w:rPr>
              <w:t xml:space="preserve">Le format qui convainc : </w:t>
            </w:r>
            <w:r>
              <w:rPr>
                <w:rFonts w:ascii="Marianne" w:cs="Marianne" w:eastAsia="Marianne" w:hAnsi="Marianne"/>
                <w:color w:val="3A3A3A"/>
                <w:sz w:val="20"/>
                <w:szCs w:val="20"/>
              </w:rPr>
              <w:t xml:space="preserve">Démo personnalisée sur un vrai fichier/problème de la direction, en 30 min</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34000"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100"/>
            </w:pPr>
            <w:r>
              <w:rPr>
                <w:rFonts w:ascii="Marianne" w:cs="Marianne" w:eastAsia="Marianne" w:hAnsi="Marianne"/>
                <w:b/>
                <w:bCs/>
                <w:color w:val="B34000"/>
                <w:sz w:val="24"/>
                <w:szCs w:val="24"/>
              </w:rPr>
              <w:t xml:space="preserve">C. BercyHub</w:t>
            </w:r>
          </w:p>
          <w:p>
            <w:pPr>
              <w:spacing w:before="20" w:after="30" w:line="260"/>
            </w:pPr>
            <w:r>
              <w:rPr>
                <w:rFonts w:ascii="Marianne" w:cs="Marianne" w:eastAsia="Marianne" w:hAnsi="Marianne"/>
                <w:b/>
                <w:bCs/>
                <w:color w:val="3A3A3A"/>
                <w:sz w:val="20"/>
                <w:szCs w:val="20"/>
              </w:rPr>
              <w:t xml:space="preserve">Qui : </w:t>
            </w:r>
            <w:r>
              <w:rPr>
                <w:rFonts w:ascii="Marianne" w:cs="Marianne" w:eastAsia="Marianne" w:hAnsi="Marianne"/>
                <w:color w:val="3A3A3A"/>
                <w:sz w:val="20"/>
                <w:szCs w:val="20"/>
              </w:rPr>
              <w:t xml:space="preserve">L’équipe BercyHub, son responsable, sa tutelle</w:t>
            </w:r>
          </w:p>
          <w:p>
            <w:pPr>
              <w:spacing w:before="20" w:after="30" w:line="260"/>
            </w:pPr>
            <w:r>
              <w:rPr>
                <w:rFonts w:ascii="Marianne" w:cs="Marianne" w:eastAsia="Marianne" w:hAnsi="Marianne"/>
                <w:b/>
                <w:bCs/>
                <w:color w:val="E1000F"/>
                <w:sz w:val="20"/>
                <w:szCs w:val="20"/>
              </w:rPr>
              <w:t xml:space="preserve">Ce qu’ils redoutent : </w:t>
            </w:r>
            <w:r>
              <w:rPr>
                <w:rFonts w:ascii="Marianne" w:cs="Marianne" w:eastAsia="Marianne" w:hAnsi="Marianne"/>
                <w:color w:val="3A3A3A"/>
                <w:sz w:val="20"/>
                <w:szCs w:val="20"/>
              </w:rPr>
              <w:t xml:space="preserve">Que le Vibe Lab empiète sur leur périmètre, qu’il décrédibilise leur approche souveraine, qu’il crée de la confusion</w:t>
            </w:r>
          </w:p>
          <w:p>
            <w:pPr>
              <w:spacing w:before="20" w:after="30" w:line="276"/>
            </w:pPr>
            <w:r>
              <w:rPr>
                <w:rFonts w:ascii="Marianne" w:cs="Marianne" w:eastAsia="Marianne" w:hAnsi="Marianne"/>
                <w:b/>
                <w:bCs/>
                <w:color w:val="18753C"/>
                <w:sz w:val="20"/>
                <w:szCs w:val="20"/>
              </w:rPr>
              <w:t xml:space="preserve">Le message : </w:t>
            </w:r>
            <w:r>
              <w:rPr>
                <w:rFonts w:ascii="Marianne" w:cs="Marianne" w:eastAsia="Marianne" w:hAnsi="Marianne"/>
                <w:color w:val="3A3A3A"/>
                <w:sz w:val="20"/>
                <w:szCs w:val="20"/>
              </w:rPr>
              <w:t xml:space="preserve">« Le Vibe Lab est votre éclaireur. On prototyppe sur données publiques, on valide le concept, vous industrialisez sur données sensibles. On vous fait gagner 6 mois et 100 K€ de cadrage. »</w:t>
            </w:r>
          </w:p>
          <w:p>
            <w:pPr>
              <w:spacing w:before="20" w:after="10" w:line="260"/>
            </w:pPr>
            <w:r>
              <w:rPr>
                <w:rFonts w:ascii="Marianne" w:cs="Marianne" w:eastAsia="Marianne" w:hAnsi="Marianne"/>
                <w:b/>
                <w:bCs/>
                <w:color w:val="000091"/>
                <w:sz w:val="20"/>
                <w:szCs w:val="20"/>
              </w:rPr>
              <w:t xml:space="preserve">Le format qui convainc : </w:t>
            </w:r>
            <w:r>
              <w:rPr>
                <w:rFonts w:ascii="Marianne" w:cs="Marianne" w:eastAsia="Marianne" w:hAnsi="Marianne"/>
                <w:color w:val="3A3A3A"/>
                <w:sz w:val="20"/>
                <w:szCs w:val="20"/>
              </w:rPr>
              <w:t xml:space="preserve">Café informel d’abord, puis point trimestriel structuré</w:t>
            </w:r>
          </w:p>
        </w:tc>
      </w:tr>
    </w:tbl>
    <w:p>
      <w:r>
        <w:br w:type="pag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E445A"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100"/>
            </w:pPr>
            <w:r>
              <w:rPr>
                <w:rFonts w:ascii="Marianne" w:cs="Marianne" w:eastAsia="Marianne" w:hAnsi="Marianne"/>
                <w:b/>
                <w:bCs/>
                <w:color w:val="6E445A"/>
                <w:sz w:val="24"/>
                <w:szCs w:val="24"/>
              </w:rPr>
              <w:t xml:space="preserve">D. Agents et encadrement intermédiaire</w:t>
            </w:r>
          </w:p>
          <w:p>
            <w:pPr>
              <w:spacing w:before="20" w:after="30" w:line="260"/>
            </w:pPr>
            <w:r>
              <w:rPr>
                <w:rFonts w:ascii="Marianne" w:cs="Marianne" w:eastAsia="Marianne" w:hAnsi="Marianne"/>
                <w:b/>
                <w:bCs/>
                <w:color w:val="3A3A3A"/>
                <w:sz w:val="20"/>
                <w:szCs w:val="20"/>
              </w:rPr>
              <w:t xml:space="preserve">Qui : </w:t>
            </w:r>
            <w:r>
              <w:rPr>
                <w:rFonts w:ascii="Marianne" w:cs="Marianne" w:eastAsia="Marianne" w:hAnsi="Marianne"/>
                <w:color w:val="3A3A3A"/>
                <w:sz w:val="20"/>
                <w:szCs w:val="20"/>
              </w:rPr>
              <w:t xml:space="preserve">Chefs de bureau, gestionnaires, chargés de mission, assistants</w:t>
            </w:r>
          </w:p>
          <w:p>
            <w:pPr>
              <w:spacing w:before="20" w:after="30" w:line="260"/>
            </w:pPr>
            <w:r>
              <w:rPr>
                <w:rFonts w:ascii="Marianne" w:cs="Marianne" w:eastAsia="Marianne" w:hAnsi="Marianne"/>
                <w:b/>
                <w:bCs/>
                <w:color w:val="E1000F"/>
                <w:sz w:val="20"/>
                <w:szCs w:val="20"/>
              </w:rPr>
              <w:t xml:space="preserve">Ce qu’ils redoutent : </w:t>
            </w:r>
            <w:r>
              <w:rPr>
                <w:rFonts w:ascii="Marianne" w:cs="Marianne" w:eastAsia="Marianne" w:hAnsi="Marianne"/>
                <w:color w:val="3A3A3A"/>
                <w:sz w:val="20"/>
                <w:szCs w:val="20"/>
              </w:rPr>
              <w:t xml:space="preserve">Que l’IA les remplace, que ça change leurs habitudes sans les consulter, que ce soit un « truc de geeks »</w:t>
            </w:r>
          </w:p>
          <w:p>
            <w:pPr>
              <w:spacing w:before="20" w:after="30" w:line="276"/>
            </w:pPr>
            <w:r>
              <w:rPr>
                <w:rFonts w:ascii="Marianne" w:cs="Marianne" w:eastAsia="Marianne" w:hAnsi="Marianne"/>
                <w:b/>
                <w:bCs/>
                <w:color w:val="18753C"/>
                <w:sz w:val="20"/>
                <w:szCs w:val="20"/>
              </w:rPr>
              <w:t xml:space="preserve">Le message : </w:t>
            </w:r>
            <w:r>
              <w:rPr>
                <w:rFonts w:ascii="Marianne" w:cs="Marianne" w:eastAsia="Marianne" w:hAnsi="Marianne"/>
                <w:color w:val="3A3A3A"/>
                <w:sz w:val="20"/>
                <w:szCs w:val="20"/>
              </w:rPr>
              <w:t xml:space="preserve">« Le Vibe Lab fabrique des outils pour vous, pas à votre place. Vous avez un fichier Excel pénible ? Un process répétitif ? Dites-le nous, on simplifie. »</w:t>
            </w:r>
          </w:p>
          <w:p>
            <w:pPr>
              <w:spacing w:before="20" w:after="10" w:line="260"/>
            </w:pPr>
            <w:r>
              <w:rPr>
                <w:rFonts w:ascii="Marianne" w:cs="Marianne" w:eastAsia="Marianne" w:hAnsi="Marianne"/>
                <w:b/>
                <w:bCs/>
                <w:color w:val="000091"/>
                <w:sz w:val="20"/>
                <w:szCs w:val="20"/>
              </w:rPr>
              <w:t xml:space="preserve">Le format qui convainc : </w:t>
            </w:r>
            <w:r>
              <w:rPr>
                <w:rFonts w:ascii="Marianne" w:cs="Marianne" w:eastAsia="Marianne" w:hAnsi="Marianne"/>
                <w:color w:val="3A3A3A"/>
                <w:sz w:val="20"/>
                <w:szCs w:val="20"/>
              </w:rPr>
              <w:t xml:space="preserve">Article intranet avec avant/après concret, témoignage d’un collègue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100"/>
            </w:pPr>
            <w:r>
              <w:rPr>
                <w:rFonts w:ascii="Marianne" w:cs="Marianne" w:eastAsia="Marianne" w:hAnsi="Marianne"/>
                <w:b/>
                <w:bCs/>
                <w:color w:val="6A6AF4"/>
                <w:sz w:val="24"/>
                <w:szCs w:val="24"/>
              </w:rPr>
              <w:t xml:space="preserve">E. Communauté tech interne et interministérielle</w:t>
            </w:r>
          </w:p>
          <w:p>
            <w:pPr>
              <w:spacing w:before="20" w:after="30" w:line="260"/>
            </w:pPr>
            <w:r>
              <w:rPr>
                <w:rFonts w:ascii="Marianne" w:cs="Marianne" w:eastAsia="Marianne" w:hAnsi="Marianne"/>
                <w:b/>
                <w:bCs/>
                <w:color w:val="3A3A3A"/>
                <w:sz w:val="20"/>
                <w:szCs w:val="20"/>
              </w:rPr>
              <w:t xml:space="preserve">Qui : </w:t>
            </w:r>
            <w:r>
              <w:rPr>
                <w:rFonts w:ascii="Marianne" w:cs="Marianne" w:eastAsia="Marianne" w:hAnsi="Marianne"/>
                <w:color w:val="3A3A3A"/>
                <w:sz w:val="20"/>
                <w:szCs w:val="20"/>
              </w:rPr>
              <w:t xml:space="preserve">Développeurs SNUM, équipes DINUM, beta.gouv, réseau des labs d’innovation publique</w:t>
            </w:r>
          </w:p>
          <w:p>
            <w:pPr>
              <w:spacing w:before="20" w:after="30" w:line="260"/>
            </w:pPr>
            <w:r>
              <w:rPr>
                <w:rFonts w:ascii="Marianne" w:cs="Marianne" w:eastAsia="Marianne" w:hAnsi="Marianne"/>
                <w:b/>
                <w:bCs/>
                <w:color w:val="E1000F"/>
                <w:sz w:val="20"/>
                <w:szCs w:val="20"/>
              </w:rPr>
              <w:t xml:space="preserve">Ce qu’ils redoutent : </w:t>
            </w:r>
            <w:r>
              <w:rPr>
                <w:rFonts w:ascii="Marianne" w:cs="Marianne" w:eastAsia="Marianne" w:hAnsi="Marianne"/>
                <w:color w:val="3A3A3A"/>
                <w:sz w:val="20"/>
                <w:szCs w:val="20"/>
              </w:rPr>
              <w:t xml:space="preserve">Que ce soit du bricolage non professionnel, que le code ne soit pas à la hauteur</w:t>
            </w:r>
          </w:p>
          <w:p>
            <w:pPr>
              <w:spacing w:before="20" w:after="30" w:line="276"/>
            </w:pPr>
            <w:r>
              <w:rPr>
                <w:rFonts w:ascii="Marianne" w:cs="Marianne" w:eastAsia="Marianne" w:hAnsi="Marianne"/>
                <w:b/>
                <w:bCs/>
                <w:color w:val="18753C"/>
                <w:sz w:val="20"/>
                <w:szCs w:val="20"/>
              </w:rPr>
              <w:t xml:space="preserve">Le message : </w:t>
            </w:r>
            <w:r>
              <w:rPr>
                <w:rFonts w:ascii="Marianne" w:cs="Marianne" w:eastAsia="Marianne" w:hAnsi="Marianne"/>
                <w:color w:val="3A3A3A"/>
                <w:sz w:val="20"/>
                <w:szCs w:val="20"/>
              </w:rPr>
              <w:t xml:space="preserve">« 238K LOC, 1 800+ tests, CI/CD, DSFR natif, open source sur GitHub. Le vibe coding n’est pas du no-code — c’est du code professionnel accéléré par l’IA. »</w:t>
            </w:r>
          </w:p>
          <w:p>
            <w:pPr>
              <w:spacing w:before="20" w:after="10" w:line="260"/>
            </w:pPr>
            <w:r>
              <w:rPr>
                <w:rFonts w:ascii="Marianne" w:cs="Marianne" w:eastAsia="Marianne" w:hAnsi="Marianne"/>
                <w:b/>
                <w:bCs/>
                <w:color w:val="000091"/>
                <w:sz w:val="20"/>
                <w:szCs w:val="20"/>
              </w:rPr>
              <w:t xml:space="preserve">Le format qui convainc : </w:t>
            </w:r>
            <w:r>
              <w:rPr>
                <w:rFonts w:ascii="Marianne" w:cs="Marianne" w:eastAsia="Marianne" w:hAnsi="Marianne"/>
                <w:color w:val="3A3A3A"/>
                <w:sz w:val="20"/>
                <w:szCs w:val="20"/>
              </w:rPr>
              <w:t xml:space="preserve">README exemplaire sur GitHub, talk en meetup interne, article technique sur le blog SNUM</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888888"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100"/>
            </w:pPr>
            <w:r>
              <w:rPr>
                <w:rFonts w:ascii="Marianne" w:cs="Marianne" w:eastAsia="Marianne" w:hAnsi="Marianne"/>
                <w:b/>
                <w:bCs/>
                <w:color w:val="888888"/>
                <w:sz w:val="24"/>
                <w:szCs w:val="24"/>
              </w:rPr>
              <w:t xml:space="preserve">F. Organisations syndicales</w:t>
            </w:r>
          </w:p>
          <w:p>
            <w:pPr>
              <w:spacing w:before="20" w:after="30" w:line="260"/>
            </w:pPr>
            <w:r>
              <w:rPr>
                <w:rFonts w:ascii="Marianne" w:cs="Marianne" w:eastAsia="Marianne" w:hAnsi="Marianne"/>
                <w:b/>
                <w:bCs/>
                <w:color w:val="3A3A3A"/>
                <w:sz w:val="20"/>
                <w:szCs w:val="20"/>
              </w:rPr>
              <w:t xml:space="preserve">Qui : </w:t>
            </w:r>
            <w:r>
              <w:rPr>
                <w:rFonts w:ascii="Marianne" w:cs="Marianne" w:eastAsia="Marianne" w:hAnsi="Marianne"/>
                <w:color w:val="3A3A3A"/>
                <w:sz w:val="20"/>
                <w:szCs w:val="20"/>
              </w:rPr>
              <w:t xml:space="preserve">Représentants du personnel, CHSCT, CTM</w:t>
            </w:r>
          </w:p>
          <w:p>
            <w:pPr>
              <w:spacing w:before="20" w:after="30" w:line="260"/>
            </w:pPr>
            <w:r>
              <w:rPr>
                <w:rFonts w:ascii="Marianne" w:cs="Marianne" w:eastAsia="Marianne" w:hAnsi="Marianne"/>
                <w:b/>
                <w:bCs/>
                <w:color w:val="E1000F"/>
                <w:sz w:val="20"/>
                <w:szCs w:val="20"/>
              </w:rPr>
              <w:t xml:space="preserve">Ce qu’ils redoutent : </w:t>
            </w:r>
            <w:r>
              <w:rPr>
                <w:rFonts w:ascii="Marianne" w:cs="Marianne" w:eastAsia="Marianne" w:hAnsi="Marianne"/>
                <w:color w:val="3A3A3A"/>
                <w:sz w:val="20"/>
                <w:szCs w:val="20"/>
              </w:rPr>
              <w:t xml:space="preserve">Que l’IA supprime des postes, que les conditions de travail changent sans concertation</w:t>
            </w:r>
          </w:p>
          <w:p>
            <w:pPr>
              <w:spacing w:before="20" w:after="30" w:line="276"/>
            </w:pPr>
            <w:r>
              <w:rPr>
                <w:rFonts w:ascii="Marianne" w:cs="Marianne" w:eastAsia="Marianne" w:hAnsi="Marianne"/>
                <w:b/>
                <w:bCs/>
                <w:color w:val="18753C"/>
                <w:sz w:val="20"/>
                <w:szCs w:val="20"/>
              </w:rPr>
              <w:t xml:space="preserve">Le message : </w:t>
            </w:r>
            <w:r>
              <w:rPr>
                <w:rFonts w:ascii="Marianne" w:cs="Marianne" w:eastAsia="Marianne" w:hAnsi="Marianne"/>
                <w:color w:val="3A3A3A"/>
                <w:sz w:val="20"/>
                <w:szCs w:val="20"/>
              </w:rPr>
              <w:t xml:space="preserve">« Le Vibe Lab améliore les conditions de travail des agents en supprimant les tâches répétitives. Aucun poste n’est menacé — au contraire, les agents gagnent du temps pour leur cœur de métier. »</w:t>
            </w:r>
          </w:p>
          <w:p>
            <w:pPr>
              <w:spacing w:before="20" w:after="10" w:line="260"/>
            </w:pPr>
            <w:r>
              <w:rPr>
                <w:rFonts w:ascii="Marianne" w:cs="Marianne" w:eastAsia="Marianne" w:hAnsi="Marianne"/>
                <w:b/>
                <w:bCs/>
                <w:color w:val="000091"/>
                <w:sz w:val="20"/>
                <w:szCs w:val="20"/>
              </w:rPr>
              <w:t xml:space="preserve">Le format qui convainc : </w:t>
            </w:r>
            <w:r>
              <w:rPr>
                <w:rFonts w:ascii="Marianne" w:cs="Marianne" w:eastAsia="Marianne" w:hAnsi="Marianne"/>
                <w:color w:val="3A3A3A"/>
                <w:sz w:val="20"/>
                <w:szCs w:val="20"/>
              </w:rPr>
              <w:t xml:space="preserve">Information en CTM si nécessaire, avec exemples concrets de simplification du quotidien</w:t>
            </w:r>
          </w:p>
        </w:tc>
      </w:tr>
    </w:tbl>
    <w:p>
      <w:r>
        <w:br w:type="page"/>
      </w:r>
    </w:p>
    <w:p>
      <w:pPr>
        <w:pStyle w:val="Heading1"/>
        <w:spacing w:before="400" w:after="200"/>
      </w:pPr>
      <w:r>
        <w:rPr>
          <w:rFonts w:ascii="Marianne" w:cs="Marianne" w:eastAsia="Marianne" w:hAnsi="Marianne"/>
          <w:b/>
          <w:bCs/>
          <w:color w:val="000091"/>
          <w:sz w:val="32"/>
          <w:szCs w:val="32"/>
        </w:rPr>
        <w:t xml:space="preserve">3. Les canaux — le bon message au bon endroit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985"/>
        <w:gridCol w:w="1985"/>
        <w:gridCol w:w="2707"/>
        <w:gridCol w:w="2349"/>
      </w:tblGrid>
      <w:tr>
        <w:tc>
          <w:tcPr>
            <w:tcW w:type="dxa" w:w="198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Canal</w:t>
            </w:r>
          </w:p>
        </w:tc>
        <w:tc>
          <w:tcPr>
            <w:tcW w:type="dxa" w:w="198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Audience cible</w:t>
            </w:r>
          </w:p>
        </w:tc>
        <w:tc>
          <w:tcPr>
            <w:tcW w:type="dxa" w:w="27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Contenu</w:t>
            </w:r>
          </w:p>
        </w:tc>
        <w:tc>
          <w:tcPr>
            <w:tcW w:type="dxa" w:w="234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Fréquence</w:t>
            </w:r>
          </w:p>
        </w:tc>
      </w:tr>
      <w:tr>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Démo live en codir</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 générale</w:t>
            </w:r>
          </w:p>
        </w:tc>
        <w:tc>
          <w:tcPr>
            <w:tcW w:type="dxa" w:w="27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10 min : 3 slides contexte + démo en direct d’un outil (idéalement ExcelExit sur un vrai fichier de la direction). Impact maximal.</w:t>
            </w:r>
          </w:p>
        </w:tc>
        <w:tc>
          <w:tcPr>
            <w:tcW w:type="dxa" w:w="2349"/>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1 fois, à planifier</w:t>
            </w:r>
          </w:p>
        </w:tc>
      </w:tr>
      <w:tr>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Tournée des directions</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Directions métier</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30 min par direction : « montrez-nous votre pire fichier Excel ». On identifie 1-2 projets candidats. On repart avec un mandat.</w:t>
            </w:r>
          </w:p>
        </w:tc>
        <w:tc>
          <w:tcPr>
            <w:tcW w:type="dxa" w:w="234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1 par direction, sur 2 mois</w:t>
            </w:r>
          </w:p>
        </w:tc>
      </w:tr>
      <w:tr>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Page vitrine intranet</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Tous agents</w:t>
            </w:r>
          </w:p>
        </w:tc>
        <w:tc>
          <w:tcPr>
            <w:tcW w:type="dxa" w:w="27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Portfolio des réalisations : chaque outil avec capture, lien, métriques, statut. Formulaire « proposer un besoin ». Mise à jour mensuelle.</w:t>
            </w:r>
          </w:p>
        </w:tc>
        <w:tc>
          <w:tcPr>
            <w:tcW w:type="dxa" w:w="2349"/>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Permanent, MAJ mensuelle</w:t>
            </w:r>
          </w:p>
        </w:tc>
      </w:tr>
      <w:tr>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Newsletter SG / SNUM</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Encadrement</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Encart régulier : 1 outil mis en lumière, 1 chiffre clé, 1 témoignage utilisateur. Format court (150 mots max).</w:t>
            </w:r>
          </w:p>
        </w:tc>
        <w:tc>
          <w:tcPr>
            <w:tcW w:type="dxa" w:w="234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Mensuel</w:t>
            </w:r>
          </w:p>
        </w:tc>
      </w:tr>
      <w:tr>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Article intranet avant/après</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Agents, encadrement</w:t>
            </w:r>
          </w:p>
        </w:tc>
        <w:tc>
          <w:tcPr>
            <w:tcW w:type="dxa" w:w="27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Portrait d’un agent dont le quotidien a changé grâce à un outil du Lab. Storytelling, pas technique.</w:t>
            </w:r>
          </w:p>
        </w:tc>
        <w:tc>
          <w:tcPr>
            <w:tcW w:type="dxa" w:w="2349"/>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Trimestriel</w:t>
            </w:r>
          </w:p>
        </w:tc>
      </w:tr>
      <w:tr>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GitHub + README</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Communauté tech</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Repositories publics, README exemplaires, architecture documentée. Le code parle pour le Lab.</w:t>
            </w:r>
          </w:p>
        </w:tc>
        <w:tc>
          <w:tcPr>
            <w:tcW w:type="dxa" w:w="234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En continu</w:t>
            </w:r>
          </w:p>
        </w:tc>
      </w:tr>
      <w:tr>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Talk / meetup interne</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Tech + innovateurs</w:t>
            </w:r>
          </w:p>
        </w:tc>
        <w:tc>
          <w:tcPr>
            <w:tcW w:type="dxa" w:w="27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Présentation de 20 min sur le vibe coding, le stack technique, les leçons apprises. Ton informel.</w:t>
            </w:r>
          </w:p>
        </w:tc>
        <w:tc>
          <w:tcPr>
            <w:tcW w:type="dxa" w:w="2349"/>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1-2 par an</w:t>
            </w:r>
          </w:p>
        </w:tc>
      </w:tr>
      <w:tr>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Point trimestriel BercyHub</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BercyHub</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Revue conjointe des projets : ce qui reste côté Lab, ce qui pourrait être transféré, les retours d’expérience.</w:t>
            </w:r>
          </w:p>
        </w:tc>
        <w:tc>
          <w:tcPr>
            <w:tcW w:type="dxa" w:w="234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Trimestriel</w:t>
            </w:r>
          </w:p>
        </w:tc>
      </w:tr>
      <w:tr>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Bilan trimestriel chiffré</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 SNUM</w:t>
            </w:r>
          </w:p>
        </w:tc>
        <w:tc>
          <w:tcPr>
            <w:tcW w:type="dxa" w:w="27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1-2 pages : projets livrés, KPI, coûts évités, abandons (et pourquoi). Transparence totale.</w:t>
            </w:r>
          </w:p>
        </w:tc>
        <w:tc>
          <w:tcPr>
            <w:tcW w:type="dxa" w:w="2349"/>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Trimestriel</w:t>
            </w:r>
          </w:p>
        </w:tc>
      </w:tr>
      <w:tr>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Présentation DINUM / interministériel</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Communauté État</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Retour d’expérience dans les cercles DINUM (OpenLab, Rendez-vous de la DINUM, beta.gouv). Rayonnement externe qui crédibilise en interne.</w:t>
            </w:r>
          </w:p>
        </w:tc>
        <w:tc>
          <w:tcPr>
            <w:tcW w:type="dxa" w:w="234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1-2 par an</w:t>
            </w:r>
          </w:p>
        </w:tc>
      </w:tr>
    </w:tbl>
    <w:p>
      <w:r>
        <w:br w:type="page"/>
      </w:r>
    </w:p>
    <w:p>
      <w:pPr>
        <w:pStyle w:val="Heading1"/>
        <w:spacing w:before="400" w:after="200"/>
      </w:pPr>
      <w:r>
        <w:rPr>
          <w:rFonts w:ascii="Marianne" w:cs="Marianne" w:eastAsia="Marianne" w:hAnsi="Marianne"/>
          <w:b/>
          <w:bCs/>
          <w:color w:val="000091"/>
          <w:sz w:val="32"/>
          <w:szCs w:val="32"/>
        </w:rPr>
        <w:t xml:space="preserve">4. Le discours « anti-anxiété »</w:t>
      </w:r>
    </w:p>
    <w:p>
      <w:pPr>
        <w:spacing w:before="80" w:after="80" w:line="276"/>
        <w:jc w:val="both"/>
      </w:pPr>
      <w:r>
        <w:rPr>
          <w:rFonts w:ascii="Marianne" w:cs="Marianne" w:eastAsia="Marianne" w:hAnsi="Marianne"/>
          <w:color w:val="3A3A3A"/>
          <w:sz w:val="21"/>
          <w:szCs w:val="21"/>
        </w:rPr>
        <w:t xml:space="preserve">Chaque audience a une peur spécifique. Le plan de communication doit désamorcer ces peurs avant de vendre les bénéfices. Voici les objections les plus probables et les réponses préparées :</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159"/>
        <w:gridCol w:w="5867"/>
      </w:tblGrid>
      <w:tr>
        <w:tc>
          <w:tcPr>
            <w:tcW w:type="dxa" w:w="315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Objection</w:t>
            </w:r>
          </w:p>
        </w:tc>
        <w:tc>
          <w:tcPr>
            <w:tcW w:type="dxa" w:w="586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Réponse</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C’est un gadget, ça ne tiendra pas »</w:t>
            </w:r>
          </w:p>
        </w:tc>
        <w:tc>
          <w:tcPr>
            <w:tcW w:type="dxa" w:w="586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8 outils en production depuis 6 mois, 663 K€ de valeur mesurée, code open source sur GitHub. Si c’était un gadget, les chiffres ne seraient pas là.</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Ça fait doublon avec BercyHub »</w:t>
            </w:r>
          </w:p>
        </w:tc>
        <w:tc>
          <w:tcPr>
            <w:tcW w:type="dxa" w:w="586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Périmètres strictement séparés : données publiques vs. données sensibles, prototypage rapide vs. industrialisation. Documenté dans la note d’opportunité. Confirmé (ou à confirmer) par BercyHub.</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L’IA va remplacer des agents »</w:t>
            </w:r>
          </w:p>
        </w:tc>
        <w:tc>
          <w:tcPr>
            <w:tcW w:type="dxa" w:w="586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Lab produit des outils pour les agents, pas à leur place. Aucun poste supprimé. Les agents gagnent du temps sur les tâches répétitives pour se concentrer sur leur cœur de métier.</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C’est un homme seul, si il part tout s’arrête »</w:t>
            </w:r>
          </w:p>
        </w:tc>
        <w:tc>
          <w:tcPr>
            <w:tcW w:type="dxa" w:w="586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Code publié sur GitHub, documenté, testé, en architecture standard. N’importe quel développeur peut reprendre. Le plan prévoit la montée à 2-3 agents.</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Les données vont fuiter via l’IA »</w:t>
            </w:r>
          </w:p>
        </w:tc>
        <w:tc>
          <w:tcPr>
            <w:tcW w:type="dxa" w:w="586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Lab ne traite aucune donnée sensible. Les prompts contiennent des spécifications techniques, pas des données. Le code produit est public.</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Ça va devenir inmaintenable »</w:t>
            </w:r>
          </w:p>
        </w:tc>
        <w:tc>
          <w:tcPr>
            <w:tcW w:type="dxa" w:w="586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1 800+ tests automatisés, CI/CD, typage strict, conformité DSFR. Et le principe Grist pour ExcelExit : si l’interface meurt, les données vivent.</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On n’a pas le budget »</w:t>
            </w:r>
          </w:p>
        </w:tc>
        <w:tc>
          <w:tcPr>
            <w:tcW w:type="dxa" w:w="586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~1 000 €/mois de licences IA. L’infra Grist est gratuite (DINUM). Le coût principal est le temps-agent, déjà alloué. ROI démontré à 88 % d’économie.</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iCs/>
                <w:color w:val="3A3A3A"/>
                <w:sz w:val="19"/>
                <w:szCs w:val="19"/>
              </w:rPr>
              <w:t xml:space="preserve">« Pourquoi le SNUM fait de l’innovation ? »</w:t>
            </w:r>
          </w:p>
        </w:tc>
        <w:tc>
          <w:tcPr>
            <w:tcW w:type="dxa" w:w="586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Parce que l’innovation web est dans la mission MIWEB. Et parce qu’un Lab interne coûte 100 fois moins qu’un projet classique pour des résultats comparables.</w:t>
            </w:r>
          </w:p>
        </w:tc>
      </w:tr>
    </w:tbl>
    <w:p>
      <w:r>
        <w:br w:type="page"/>
      </w:r>
    </w:p>
    <w:p>
      <w:pPr>
        <w:pStyle w:val="Heading1"/>
        <w:spacing w:before="400" w:after="200"/>
      </w:pPr>
      <w:r>
        <w:rPr>
          <w:rFonts w:ascii="Marianne" w:cs="Marianne" w:eastAsia="Marianne" w:hAnsi="Marianne"/>
          <w:b/>
          <w:bCs/>
          <w:color w:val="000091"/>
          <w:sz w:val="32"/>
          <w:szCs w:val="32"/>
        </w:rPr>
        <w:t xml:space="preserve">5. Calendrier — première vague (12 semaines)</w:t>
      </w:r>
    </w:p>
    <w:p>
      <w:pPr>
        <w:spacing w:before="80" w:after="80" w:line="276"/>
        <w:jc w:val="both"/>
      </w:pPr>
      <w:r>
        <w:rPr>
          <w:rFonts w:ascii="Marianne" w:cs="Marianne" w:eastAsia="Marianne" w:hAnsi="Marianne"/>
          <w:color w:val="3A3A3A"/>
          <w:sz w:val="21"/>
          <w:szCs w:val="21"/>
        </w:rPr>
        <w:t xml:space="preserve">Le plan se déploie en trois temps : d’abord sécuriser le soutien hiérarchique, ensuite générer la demande métier, enfin communiquer largement.</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4"/>
                <w:szCs w:val="24"/>
              </w:rPr>
              <w:t xml:space="preserve">Phase 1 — Sécuriser (semaines 1 à 4)</w:t>
            </w:r>
          </w:p>
        </w:tc>
      </w:tr>
    </w:tbl>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63"/>
        <w:gridCol w:w="3971"/>
        <w:gridCol w:w="1985"/>
        <w:gridCol w:w="1807"/>
      </w:tblGrid>
      <w:tr>
        <w:tc>
          <w:tcPr>
            <w:tcW w:type="dxa" w:w="126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Sem.</w:t>
            </w:r>
          </w:p>
        </w:tc>
        <w:tc>
          <w:tcPr>
            <w:tcW w:type="dxa" w:w="3971"/>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Action</w:t>
            </w:r>
          </w:p>
        </w:tc>
        <w:tc>
          <w:tcPr>
            <w:tcW w:type="dxa" w:w="198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Cible</w:t>
            </w:r>
          </w:p>
        </w:tc>
        <w:tc>
          <w:tcPr>
            <w:tcW w:type="dxa" w:w="18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Livrable</w:t>
            </w:r>
          </w:p>
        </w:tc>
      </w:tr>
      <w:tr>
        <w:tc>
          <w:tcPr>
            <w:tcW w:type="dxa" w:w="1263"/>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S1</w:t>
            </w:r>
          </w:p>
        </w:tc>
        <w:tc>
          <w:tcPr>
            <w:tcW w:type="dxa" w:w="3971"/>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Café avec le responsable BercyHub : présenter la note d’opportunité, valider ensemble la règle de démarcation</w:t>
            </w:r>
          </w:p>
        </w:tc>
        <w:tc>
          <w:tcPr>
            <w:tcW w:type="dxa" w:w="1985"/>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BercyHub</w:t>
            </w:r>
          </w:p>
        </w:tc>
        <w:tc>
          <w:tcPr>
            <w:tcW w:type="dxa" w:w="1807"/>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Accord informel</w:t>
            </w:r>
          </w:p>
        </w:tc>
      </w:tr>
      <w:tr>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S2</w:t>
            </w:r>
          </w:p>
        </w:tc>
        <w:tc>
          <w:tcPr>
            <w:tcW w:type="dxa" w:w="397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Point avec le chef du SNUM : remettre le dossier complet, préparer la prise de parole en codir</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SNUM n+1/n+2</w:t>
            </w:r>
          </w:p>
        </w:tc>
        <w:tc>
          <w:tcPr>
            <w:tcW w:type="dxa" w:w="18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Feu vert pour le codir</w:t>
            </w:r>
          </w:p>
        </w:tc>
      </w:tr>
      <w:tr>
        <w:tc>
          <w:tcPr>
            <w:tcW w:type="dxa" w:w="1263"/>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S3</w:t>
            </w:r>
          </w:p>
        </w:tc>
        <w:tc>
          <w:tcPr>
            <w:tcW w:type="dxa" w:w="3971"/>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Démo live en comité de direction SG : 10 min, 3 slides + démo ExcelExit ou Écosystème en direct</w:t>
            </w:r>
          </w:p>
        </w:tc>
        <w:tc>
          <w:tcPr>
            <w:tcW w:type="dxa" w:w="1985"/>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 SG</w:t>
            </w:r>
          </w:p>
        </w:tc>
        <w:tc>
          <w:tcPr>
            <w:tcW w:type="dxa" w:w="1807"/>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Mandat d’élargissement</w:t>
            </w:r>
          </w:p>
        </w:tc>
      </w:tr>
      <w:tr>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S4</w:t>
            </w:r>
          </w:p>
        </w:tc>
        <w:tc>
          <w:tcPr>
            <w:tcW w:type="dxa" w:w="397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Transmission du bilan trimestriel chiffré à la direction</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w:t>
            </w:r>
          </w:p>
        </w:tc>
        <w:tc>
          <w:tcPr>
            <w:tcW w:type="dxa" w:w="18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Cadre de reporting posé</w:t>
            </w:r>
          </w:p>
        </w:tc>
      </w:tr>
    </w:tbl>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4"/>
                <w:szCs w:val="24"/>
              </w:rPr>
              <w:t xml:space="preserve">Phase 2 — Générer la demande (semaines 5 à 8)</w:t>
            </w:r>
          </w:p>
        </w:tc>
      </w:tr>
    </w:tbl>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63"/>
        <w:gridCol w:w="3971"/>
        <w:gridCol w:w="1985"/>
        <w:gridCol w:w="1807"/>
      </w:tblGrid>
      <w:tr>
        <w:tc>
          <w:tcPr>
            <w:tcW w:type="dxa" w:w="126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Sem.</w:t>
            </w:r>
          </w:p>
        </w:tc>
        <w:tc>
          <w:tcPr>
            <w:tcW w:type="dxa" w:w="3971"/>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Action</w:t>
            </w:r>
          </w:p>
        </w:tc>
        <w:tc>
          <w:tcPr>
            <w:tcW w:type="dxa" w:w="198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Cible</w:t>
            </w:r>
          </w:p>
        </w:tc>
        <w:tc>
          <w:tcPr>
            <w:tcW w:type="dxa" w:w="18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Livrable</w:t>
            </w:r>
          </w:p>
        </w:tc>
      </w:tr>
      <w:tr>
        <w:tc>
          <w:tcPr>
            <w:tcW w:type="dxa" w:w="1263"/>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S5</w:t>
            </w:r>
          </w:p>
        </w:tc>
        <w:tc>
          <w:tcPr>
            <w:tcW w:type="dxa" w:w="3971"/>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Tournée DIRCOM : démo des 8 outils existants. Collecte des nouveaux besoins.</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DIRCOM</w:t>
            </w:r>
          </w:p>
        </w:tc>
        <w:tc>
          <w:tcPr>
            <w:tcW w:type="dxa" w:w="18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2-3 projets candidats</w:t>
            </w:r>
          </w:p>
        </w:tc>
      </w:tr>
      <w:tr>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S6</w:t>
            </w:r>
          </w:p>
        </w:tc>
        <w:tc>
          <w:tcPr>
            <w:tcW w:type="dxa" w:w="397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Tournée DRH + DAF : démo ExcelExit sur un vrai fichier. Identification d’un pilote.</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DRH, DAF</w:t>
            </w:r>
          </w:p>
        </w:tc>
        <w:tc>
          <w:tcPr>
            <w:tcW w:type="dxa" w:w="18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1 fichier Excel pilote</w:t>
            </w:r>
          </w:p>
        </w:tc>
      </w:tr>
      <w:tr>
        <w:tc>
          <w:tcPr>
            <w:tcW w:type="dxa" w:w="1263"/>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S7</w:t>
            </w:r>
          </w:p>
        </w:tc>
        <w:tc>
          <w:tcPr>
            <w:tcW w:type="dxa" w:w="3971"/>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Tournée DSI + Immobilier : présentation d’Écosystème + cas d’usage périphériques.</w:t>
            </w:r>
          </w:p>
        </w:tc>
        <w:tc>
          <w:tcPr>
            <w:tcW w:type="dxa" w:w="198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DSI, Immobilier</w:t>
            </w:r>
          </w:p>
        </w:tc>
        <w:tc>
          <w:tcPr>
            <w:tcW w:type="dxa" w:w="180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Besoins identifiés</w:t>
            </w:r>
          </w:p>
        </w:tc>
      </w:tr>
      <w:tr>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S8</w:t>
            </w:r>
          </w:p>
        </w:tc>
        <w:tc>
          <w:tcPr>
            <w:tcW w:type="dxa" w:w="397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Mise en ligne de la page vitrine intranet avec formulaire « proposer un besoin »</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Tous agents</w:t>
            </w:r>
          </w:p>
        </w:tc>
        <w:tc>
          <w:tcPr>
            <w:tcW w:type="dxa" w:w="18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Canal d’entrée permanent</w:t>
            </w:r>
          </w:p>
        </w:tc>
      </w:tr>
    </w:tbl>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4"/>
                <w:szCs w:val="24"/>
              </w:rPr>
              <w:t xml:space="preserve">Phase 3 — Amplifier (semaines 9 à 12)</w:t>
            </w:r>
          </w:p>
        </w:tc>
      </w:tr>
    </w:tbl>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63"/>
        <w:gridCol w:w="3971"/>
        <w:gridCol w:w="1985"/>
        <w:gridCol w:w="1807"/>
      </w:tblGrid>
      <w:tr>
        <w:tc>
          <w:tcPr>
            <w:tcW w:type="dxa" w:w="126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Sem.</w:t>
            </w:r>
          </w:p>
        </w:tc>
        <w:tc>
          <w:tcPr>
            <w:tcW w:type="dxa" w:w="3971"/>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Action</w:t>
            </w:r>
          </w:p>
        </w:tc>
        <w:tc>
          <w:tcPr>
            <w:tcW w:type="dxa" w:w="198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Cible</w:t>
            </w:r>
          </w:p>
        </w:tc>
        <w:tc>
          <w:tcPr>
            <w:tcW w:type="dxa" w:w="18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Livrable</w:t>
            </w:r>
          </w:p>
        </w:tc>
      </w:tr>
      <w:tr>
        <w:tc>
          <w:tcPr>
            <w:tcW w:type="dxa" w:w="1263"/>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S9</w:t>
            </w:r>
          </w:p>
        </w:tc>
        <w:tc>
          <w:tcPr>
            <w:tcW w:type="dxa" w:w="3971"/>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Premier article intranet « avant/après » : portrait d’un agent dont le quotidien a changé</w:t>
            </w:r>
          </w:p>
        </w:tc>
        <w:tc>
          <w:tcPr>
            <w:tcW w:type="dxa" w:w="1985"/>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Tous agents</w:t>
            </w:r>
          </w:p>
        </w:tc>
        <w:tc>
          <w:tcPr>
            <w:tcW w:type="dxa" w:w="1807"/>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Article publié</w:t>
            </w:r>
          </w:p>
        </w:tc>
      </w:tr>
      <w:tr>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S10</w:t>
            </w:r>
          </w:p>
        </w:tc>
        <w:tc>
          <w:tcPr>
            <w:tcW w:type="dxa" w:w="397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Premier encart newsletter SG : 1 outil, 1 chiffre, 1 témoignage</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Encadrement</w:t>
            </w:r>
          </w:p>
        </w:tc>
        <w:tc>
          <w:tcPr>
            <w:tcW w:type="dxa" w:w="18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Visibilité récurrente</w:t>
            </w:r>
          </w:p>
        </w:tc>
      </w:tr>
      <w:tr>
        <w:tc>
          <w:tcPr>
            <w:tcW w:type="dxa" w:w="1263"/>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S11</w:t>
            </w:r>
          </w:p>
        </w:tc>
        <w:tc>
          <w:tcPr>
            <w:tcW w:type="dxa" w:w="3971"/>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Talk interne / meetup : retour d’expérience technique sur le vibe coding</w:t>
            </w:r>
          </w:p>
        </w:tc>
        <w:tc>
          <w:tcPr>
            <w:tcW w:type="dxa" w:w="1985"/>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Communauté tech</w:t>
            </w:r>
          </w:p>
        </w:tc>
        <w:tc>
          <w:tcPr>
            <w:tcW w:type="dxa" w:w="1807"/>
            <w:tcBorders>
              <w:top w:val="single" w:color="DDDDDD" w:sz="1"/>
              <w:left w:val="single" w:color="DDDDDD" w:sz="1"/>
              <w:bottom w:val="single" w:color="DDDDDD" w:sz="1"/>
              <w:right w:val="single" w:color="DDDDDD" w:sz="1"/>
            </w:tcBorders>
            <w:shd w:fill="F3EDF0"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Crédibilité technique</w:t>
            </w:r>
          </w:p>
        </w:tc>
      </w:tr>
      <w:tr>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S12</w:t>
            </w:r>
          </w:p>
        </w:tc>
        <w:tc>
          <w:tcPr>
            <w:tcW w:type="dxa" w:w="397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Premier point trimestriel structuré avec BercyHub + bilan Q1 à la direction</w:t>
            </w:r>
          </w:p>
        </w:tc>
        <w:tc>
          <w:tcPr>
            <w:tcW w:type="dxa" w:w="1985"/>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BercyHub + Direction</w:t>
            </w:r>
          </w:p>
        </w:tc>
        <w:tc>
          <w:tcPr>
            <w:tcW w:type="dxa" w:w="18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Gouvernance posée</w:t>
            </w:r>
          </w:p>
        </w:tc>
      </w:tr>
    </w:tbl>
    <w:p>
      <w:r>
        <w:br w:type="page"/>
      </w:r>
    </w:p>
    <w:p>
      <w:pPr>
        <w:pStyle w:val="Heading1"/>
        <w:spacing w:before="400" w:after="200"/>
      </w:pPr>
      <w:r>
        <w:rPr>
          <w:rFonts w:ascii="Marianne" w:cs="Marianne" w:eastAsia="Marianne" w:hAnsi="Marianne"/>
          <w:b/>
          <w:bCs/>
          <w:color w:val="000091"/>
          <w:sz w:val="32"/>
          <w:szCs w:val="32"/>
        </w:rPr>
        <w:t xml:space="preserve">6. La règle d’or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4"/>
                <w:szCs w:val="24"/>
              </w:rPr>
              <w:t xml:space="preserve">Ne jamais communiquer sur ce que le Lab pourrait faire. Toujours communiquer sur ce qu’il a déjà fait.</w:t>
            </w:r>
          </w:p>
        </w:tc>
      </w:tr>
    </w:tbl>
    <w:p>
      <w:pPr>
        <w:spacing w:before="120" w:after="0"/>
      </w:pPr>
    </w:p>
    <w:p>
      <w:pPr>
        <w:spacing w:before="80" w:after="80" w:line="276"/>
        <w:jc w:val="both"/>
      </w:pPr>
      <w:r>
        <w:rPr>
          <w:rFonts w:ascii="Marianne" w:cs="Marianne" w:eastAsia="Marianne" w:hAnsi="Marianne"/>
          <w:color w:val="3A3A3A"/>
          <w:sz w:val="21"/>
          <w:szCs w:val="21"/>
        </w:rPr>
        <w:t xml:space="preserve">La crédibilité du Lab repose sur les résultats, pas sur les promesses. Chaque communication doit s’appuyer sur un outil existant, un chiffre vérifiable, un témoignage réel. Le jour où le Lab communique sur un projet qui n’est pas encore livré, il perd sa force principale : la preuve par l’exemple.</w:t>
      </w:r>
    </w:p>
    <w:p>
      <w:pPr>
        <w:spacing w:before="80" w:after="0"/>
      </w:pPr>
    </w:p>
    <w:p>
      <w:pPr>
        <w:spacing w:before="80" w:after="80" w:line="276"/>
        <w:jc w:val="both"/>
      </w:pPr>
      <w:r>
        <w:rPr>
          <w:rFonts w:ascii="Marianne" w:cs="Marianne" w:eastAsia="Marianne" w:hAnsi="Marianne"/>
          <w:color w:val="3A3A3A"/>
          <w:sz w:val="21"/>
          <w:szCs w:val="21"/>
        </w:rPr>
        <w:t xml:space="preserve">Cela signifie :</w:t>
      </w:r>
    </w:p>
    <w:p>
      <w:pPr>
        <w:spacing w:before="4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  La démo en codir se fait sur un outil en production, pas sur une maquette</w:t>
            </w:r>
          </w:p>
          <w:p>
            <w:pPr>
              <w:spacing w:before="40" w:after="40" w:line="276"/>
            </w:pPr>
            <w:r>
              <w:rPr>
                <w:rFonts w:ascii="Marianne" w:cs="Marianne" w:eastAsia="Marianne" w:hAnsi="Marianne"/>
                <w:b/>
                <w:bCs/>
                <w:color w:val="3A3A3A"/>
                <w:sz w:val="21"/>
                <w:szCs w:val="21"/>
              </w:rPr>
              <w:t xml:space="preserve">→  La tournée des directions montre des réalisations, pas des slides</w:t>
            </w:r>
          </w:p>
          <w:p>
            <w:pPr>
              <w:spacing w:before="40" w:after="40" w:line="276"/>
            </w:pPr>
            <w:r>
              <w:rPr>
                <w:rFonts w:ascii="Marianne" w:cs="Marianne" w:eastAsia="Marianne" w:hAnsi="Marianne"/>
                <w:b/>
                <w:bCs/>
                <w:color w:val="3A3A3A"/>
                <w:sz w:val="21"/>
                <w:szCs w:val="21"/>
              </w:rPr>
              <w:t xml:space="preserve">→  La page vitrine n’affiche que ce qui est utilisable aujourd’hui</w:t>
            </w:r>
          </w:p>
          <w:p>
            <w:pPr>
              <w:spacing w:before="40" w:after="40" w:line="276"/>
            </w:pPr>
            <w:r>
              <w:rPr>
                <w:rFonts w:ascii="Marianne" w:cs="Marianne" w:eastAsia="Marianne" w:hAnsi="Marianne"/>
                <w:b/>
                <w:bCs/>
                <w:color w:val="3A3A3A"/>
                <w:sz w:val="21"/>
                <w:szCs w:val="21"/>
              </w:rPr>
              <w:t xml:space="preserve">→  Les articles intranet racontent une histoire vraie, pas un projet de principe</w:t>
            </w:r>
          </w:p>
          <w:p>
            <w:pPr>
              <w:spacing w:before="40" w:after="40" w:line="276"/>
            </w:pPr>
            <w:r>
              <w:rPr>
                <w:rFonts w:ascii="Marianne" w:cs="Marianne" w:eastAsia="Marianne" w:hAnsi="Marianne"/>
                <w:b/>
                <w:bCs/>
                <w:color w:val="3A3A3A"/>
                <w:sz w:val="21"/>
                <w:szCs w:val="21"/>
              </w:rPr>
              <w:t xml:space="preserve">→  Les chiffres avancés sont mesurés, pas extrapolés</w:t>
            </w:r>
          </w:p>
        </w:tc>
      </w:tr>
    </w:tbl>
    <w:p>
      <w:pPr>
        <w:spacing w:before="160" w:after="0"/>
      </w:pPr>
    </w:p>
    <w:p>
      <w:pPr>
        <w:pStyle w:val="Heading1"/>
        <w:spacing w:before="400" w:after="200"/>
      </w:pPr>
      <w:r>
        <w:rPr>
          <w:rFonts w:ascii="Marianne" w:cs="Marianne" w:eastAsia="Marianne" w:hAnsi="Marianne"/>
          <w:b/>
          <w:bCs/>
          <w:color w:val="000091"/>
          <w:sz w:val="32"/>
          <w:szCs w:val="32"/>
        </w:rPr>
        <w:t xml:space="preserve">7. Indicateurs de succès du plan de communication</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159"/>
        <w:gridCol w:w="2707"/>
        <w:gridCol w:w="3160"/>
      </w:tblGrid>
      <w:tr>
        <w:tc>
          <w:tcPr>
            <w:tcW w:type="dxa" w:w="315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Indicateur</w:t>
            </w:r>
          </w:p>
        </w:tc>
        <w:tc>
          <w:tcPr>
            <w:tcW w:type="dxa" w:w="27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Situation actuelle</w:t>
            </w:r>
          </w:p>
        </w:tc>
        <w:tc>
          <w:tcPr>
            <w:tcW w:type="dxa" w:w="3160"/>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Cible</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Nombre de demandes entrantes</w:t>
            </w:r>
          </w:p>
        </w:tc>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E1000F"/>
                <w:sz w:val="19"/>
                <w:szCs w:val="19"/>
              </w:rPr>
              <w:t xml:space="preserve">0 aujourd’hui</w:t>
            </w:r>
          </w:p>
        </w:tc>
        <w:tc>
          <w:tcPr>
            <w:tcW w:type="dxa" w:w="316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18753C"/>
                <w:sz w:val="19"/>
                <w:szCs w:val="19"/>
              </w:rPr>
              <w:t xml:space="preserve">≥ 2 par mois après S8</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Nombre de directions engagées</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E1000F"/>
                <w:sz w:val="19"/>
                <w:szCs w:val="19"/>
              </w:rPr>
              <w:t xml:space="preserve">1 (DIRCOM)</w:t>
            </w:r>
          </w:p>
        </w:tc>
        <w:tc>
          <w:tcPr>
            <w:tcW w:type="dxa" w:w="316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18753C"/>
                <w:sz w:val="19"/>
                <w:szCs w:val="19"/>
              </w:rPr>
              <w:t xml:space="preserve">≥ 3 après S8</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Accord formel BercyHub</w:t>
            </w:r>
          </w:p>
        </w:tc>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E1000F"/>
                <w:sz w:val="19"/>
                <w:szCs w:val="19"/>
              </w:rPr>
              <w:t xml:space="preserve">Aucun</w:t>
            </w:r>
          </w:p>
        </w:tc>
        <w:tc>
          <w:tcPr>
            <w:tcW w:type="dxa" w:w="316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18753C"/>
                <w:sz w:val="19"/>
                <w:szCs w:val="19"/>
              </w:rPr>
              <w:t xml:space="preserve">Acquis en S1-S2</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Mandat de la direction</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E1000F"/>
                <w:sz w:val="19"/>
                <w:szCs w:val="19"/>
              </w:rPr>
              <w:t xml:space="preserve">Implicite</w:t>
            </w:r>
          </w:p>
        </w:tc>
        <w:tc>
          <w:tcPr>
            <w:tcW w:type="dxa" w:w="316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18753C"/>
                <w:sz w:val="19"/>
                <w:szCs w:val="19"/>
              </w:rPr>
              <w:t xml:space="preserve">Explicite après le codir S3</w:t>
            </w:r>
          </w:p>
        </w:tc>
      </w:tr>
      <w:tr>
        <w:tc>
          <w:tcPr>
            <w:tcW w:type="dxa" w:w="315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Page vitrine opérationnelle</w:t>
            </w:r>
          </w:p>
        </w:tc>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E1000F"/>
                <w:sz w:val="19"/>
                <w:szCs w:val="19"/>
              </w:rPr>
              <w:t xml:space="preserve">N’existe pas</w:t>
            </w:r>
          </w:p>
        </w:tc>
        <w:tc>
          <w:tcPr>
            <w:tcW w:type="dxa" w:w="316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18753C"/>
                <w:sz w:val="19"/>
                <w:szCs w:val="19"/>
              </w:rPr>
              <w:t xml:space="preserve">En ligne à S8</w:t>
            </w:r>
          </w:p>
        </w:tc>
      </w:tr>
      <w:tr>
        <w:tc>
          <w:tcPr>
            <w:tcW w:type="dxa" w:w="315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Premiers témoignages utilisateurs</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E1000F"/>
                <w:sz w:val="19"/>
                <w:szCs w:val="19"/>
              </w:rPr>
              <w:t xml:space="preserve">Informels</w:t>
            </w:r>
          </w:p>
        </w:tc>
        <w:tc>
          <w:tcPr>
            <w:tcW w:type="dxa" w:w="316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18753C"/>
                <w:sz w:val="19"/>
                <w:szCs w:val="19"/>
              </w:rPr>
              <w:t xml:space="preserve">2-3 formalisés après S9</w:t>
            </w:r>
          </w:p>
        </w:tc>
      </w:tr>
    </w:tbl>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1"/>
                <w:szCs w:val="21"/>
              </w:rPr>
              <w:t xml:space="preserve">La communication du Vibe Lab suit la même philosophie que ses projets : rapide, concrète, mesurable, jetable si ça ne marche pas. Pas de campagne de com’ à 6 mois. Un calendrier de 12 semaines, des actions ciblées, des résultats mesurables.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6E445A"/>
                <w:sz w:val="21"/>
                <w:szCs w:val="21"/>
              </w:rPr>
              <w:t xml:space="preserve">L’objectif à 12 semaines : que chaque direction sache qu’elle peut demander quelque chose au Lab, et que la direction sache pourquoi elle doit le soutenir.</w:t>
            </w:r>
          </w:p>
        </w:tc>
      </w:tr>
    </w:tbl>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Vibe Lab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Plan de communication interne — Vibe Lab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2026-02-21T17:49:44.973Z</dcterms:created>
  <dcterms:modified xsi:type="dcterms:W3CDTF">2026-02-21T17:49:44.975Z</dcterms:modified>
</cp:coreProperties>
</file>

<file path=docProps/custom.xml><?xml version="1.0" encoding="utf-8"?>
<Properties xmlns="http://schemas.openxmlformats.org/officeDocument/2006/custom-properties" xmlns:vt="http://schemas.openxmlformats.org/officeDocument/2006/docPropsVTypes"/>
</file>