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RAPPORT D’OPPORTUNITÉ</w:t>
            </w:r>
          </w:p>
          <w:p>
            <w:pPr>
              <w:spacing w:after="160"/>
            </w:pPr>
            <w:r>
              <w:rPr>
                <w:rFonts w:ascii="Marianne" w:cs="Marianne" w:eastAsia="Marianne" w:hAnsi="Marianne"/>
                <w:b/>
                <w:bCs/>
                <w:color w:val="FFFFFF"/>
                <w:sz w:val="40"/>
                <w:szCs w:val="40"/>
              </w:rPr>
              <w:t xml:space="preserve">Le vibe coding au service
de la communication publique</w:t>
            </w:r>
          </w:p>
          <w:p>
            <w:pPr>
              <w:spacing w:after="80"/>
            </w:pPr>
            <w:r>
              <w:rPr>
                <w:rFonts w:ascii="Marianne" w:cs="Marianne" w:eastAsia="Marianne" w:hAnsi="Marianne"/>
                <w:color w:val="E3E3FD"/>
                <w:sz w:val="22"/>
                <w:szCs w:val="22"/>
              </w:rPr>
              <w:t xml:space="preserve">8 outils numériques pour renforcer la visibilité,
la gouvernance et l’image du ministère</w:t>
            </w:r>
          </w:p>
        </w:tc>
      </w:tr>
    </w:tbl>
    <w:p>
      <w:pPr>
        <w:spacing w:before="400" w:after="0"/>
      </w:pPr>
    </w:p>
    <w:p>
      <w:pPr>
        <w:spacing w:after="60"/>
      </w:pPr>
      <w:r>
        <w:rPr>
          <w:rFonts w:ascii="Marianne" w:cs="Marianne" w:eastAsia="Marianne" w:hAnsi="Marianne"/>
          <w:b/>
          <w:bCs/>
          <w:color w:val="3A3A3A"/>
          <w:sz w:val="24"/>
          <w:szCs w:val="24"/>
        </w:rPr>
        <w:t xml:space="preserve">Bertrand Matgé</w:t>
      </w:r>
    </w:p>
    <w:p>
      <w:pPr>
        <w:spacing w:after="60"/>
      </w:pPr>
      <w:r>
        <w:rPr>
          <w:rFonts w:ascii="Marianne" w:cs="Marianne" w:eastAsia="Marianne" w:hAnsi="Marianne"/>
          <w:color w:val="666666"/>
          <w:sz w:val="21"/>
          <w:szCs w:val="21"/>
        </w:rPr>
        <w:t xml:space="preserve">MIWEB — Mission Ingénierie du Web</w:t>
      </w:r>
    </w:p>
    <w:p>
      <w:pPr>
        <w:spacing w:after="60"/>
      </w:pPr>
      <w:r>
        <w:rPr>
          <w:rFonts w:ascii="Marianne" w:cs="Marianne" w:eastAsia="Marianne" w:hAnsi="Marianne"/>
          <w:color w:val="666666"/>
          <w:sz w:val="21"/>
          <w:szCs w:val="21"/>
        </w:rPr>
        <w:t xml:space="preserve">Sous-direction du Numérique (SNUM)</w:t>
      </w:r>
    </w:p>
    <w:p>
      <w:pPr>
        <w:spacing w:after="200"/>
      </w:pPr>
      <w:r>
        <w:rPr>
          <w:rFonts w:ascii="Marianne" w:cs="Marianne" w:eastAsia="Marianne" w:hAnsi="Mariann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En 6 mois, 1 agent public équipé d’IA générative a produit 8 outils numériques directement utiles à la communication ministérielle — pour un coût estimé 8 fois inférieur à une prestation équivalente.</w:t>
            </w:r>
          </w:p>
        </w:tc>
      </w:tr>
    </w:tbl>
    <w:p>
      <w:pPr>
        <w:sectPr>
          <w:pgSz w:w="11906" w:h="16838" w:orient="portrait"/>
          <w:pgMar w:top="1440" w:right="1440" w:bottom="1440" w:left="1440" w:header="708" w:footer="708" w:gutter="0"/>
          <w:pgNumType/>
          <w:docGrid w:linePitch="360"/>
        </w:sectPr>
      </w:pPr>
    </w:p>
    <w:p>
      <w:pPr>
        <w:pStyle w:val="Heading1"/>
        <w:spacing w:before="360" w:after="200"/>
      </w:pPr>
      <w:r>
        <w:rPr>
          <w:rFonts w:ascii="Marianne" w:cs="Marianne" w:eastAsia="Marianne" w:hAnsi="Marianne"/>
          <w:b/>
          <w:bCs/>
          <w:color w:val="000091"/>
          <w:sz w:val="32"/>
          <w:szCs w:val="32"/>
        </w:rPr>
        <w:t xml:space="preserve">1. Pourquoi ce rapport vous concerne</w:t>
      </w:r>
    </w:p>
    <w:p>
      <w:pPr>
        <w:spacing w:before="80" w:after="80" w:line="276"/>
        <w:jc w:val="both"/>
      </w:pPr>
      <w:r>
        <w:rPr>
          <w:rFonts w:ascii="Marianne" w:cs="Marianne" w:eastAsia="Marianne" w:hAnsi="Marianne"/>
          <w:color w:val="3A3A3A"/>
          <w:sz w:val="21"/>
          <w:szCs w:val="21"/>
        </w:rPr>
        <w:t xml:space="preserve">Ce document présente les résultats d’une expérimentation menée entre septembre 2025 et février 2026 au sein de la MIWEB. En utilisant une méthode appelée « vibe coding » — développement assisté par intelligence artificielle — un seul agent public a produit 8 outils numériques fonctionnels.</w:t>
      </w:r>
    </w:p>
    <w:p>
      <w:pPr>
        <w:spacing w:before="80" w:after="80" w:line="276"/>
        <w:jc w:val="both"/>
      </w:pPr>
      <w:r>
        <w:rPr>
          <w:rFonts w:ascii="Marianne" w:cs="Marianne" w:eastAsia="Marianne" w:hAnsi="Marianne"/>
          <w:color w:val="3A3A3A"/>
          <w:sz w:val="21"/>
          <w:szCs w:val="21"/>
        </w:rPr>
        <w:t xml:space="preserve">Ce qui rend ces réalisations particulièrement pertinentes pour la Direction de la Communication, c’est que </w:t>
      </w:r>
      <w:r>
        <w:rPr>
          <w:rFonts w:ascii="Marianne" w:cs="Marianne" w:eastAsia="Marianne" w:hAnsi="Marianne"/>
          <w:b/>
          <w:bCs/>
          <w:color w:val="3A3A3A"/>
          <w:sz w:val="21"/>
          <w:szCs w:val="21"/>
        </w:rPr>
        <w:t xml:space="preserve">chacun de ces outils répond à un besoin concret de visibilité, de gouvernance éditoriale ou d’image du ministère.</w:t>
      </w:r>
      <w:r>
        <w:rPr>
          <w:rFonts w:ascii="Marianne" w:cs="Marianne" w:eastAsia="Marianne" w:hAnsi="Marianne"/>
          <w:color w:val="3A3A3A"/>
          <w:sz w:val="21"/>
          <w:szCs w:val="21"/>
        </w:rPr>
        <w:t xml:space="preserve"> Ils ne sont pas des exercices techniques : ce sont des solutions opérationnelles au service de la stratégie de communication.</w:t>
      </w:r>
    </w:p>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w:t>
            </w:r>
          </w:p>
          <w:p>
            <w:pPr>
              <w:spacing w:after="20"/>
              <w:jc w:val="center"/>
            </w:pPr>
            <w:r>
              <w:rPr>
                <w:rFonts w:ascii="Marianne" w:cs="Marianne" w:eastAsia="Marianne" w:hAnsi="Marianne"/>
                <w:b/>
                <w:bCs/>
                <w:color w:val="3A3A3A"/>
                <w:sz w:val="20"/>
                <w:szCs w:val="20"/>
              </w:rPr>
              <w:t xml:space="preserve">outils produits</w:t>
            </w:r>
          </w:p>
          <w:p>
            <w:pPr>
              <w:jc w:val="center"/>
            </w:pPr>
            <w:r>
              <w:rPr>
                <w:rFonts w:ascii="Marianne" w:cs="Marianne" w:eastAsia="Marianne" w:hAnsi="Marianne"/>
                <w:i/>
                <w:iCs/>
                <w:color w:val="666666"/>
                <w:sz w:val="17"/>
                <w:szCs w:val="17"/>
              </w:rPr>
              <w:t xml:space="preserve">tous orientés communication</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~663 K€</w:t>
            </w:r>
          </w:p>
          <w:p>
            <w:pPr>
              <w:spacing w:after="20"/>
              <w:jc w:val="center"/>
            </w:pPr>
            <w:r>
              <w:rPr>
                <w:rFonts w:ascii="Marianne" w:cs="Marianne" w:eastAsia="Marianne" w:hAnsi="Marianne"/>
                <w:b/>
                <w:bCs/>
                <w:color w:val="3A3A3A"/>
                <w:sz w:val="20"/>
                <w:szCs w:val="20"/>
              </w:rPr>
              <w:t xml:space="preserve">coût presta. équivalent</w:t>
            </w:r>
          </w:p>
          <w:p>
            <w:pPr>
              <w:jc w:val="center"/>
            </w:pPr>
            <w:r>
              <w:rPr>
                <w:rFonts w:ascii="Marianne" w:cs="Marianne" w:eastAsia="Marianne" w:hAnsi="Marianne"/>
                <w:i/>
                <w:iCs/>
                <w:color w:val="666666"/>
                <w:sz w:val="17"/>
                <w:szCs w:val="17"/>
              </w:rPr>
              <w:t xml:space="preserve">1 105 jours-homme</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88 %</w:t>
            </w:r>
          </w:p>
          <w:p>
            <w:pPr>
              <w:spacing w:after="20"/>
              <w:jc w:val="center"/>
            </w:pPr>
            <w:r>
              <w:rPr>
                <w:rFonts w:ascii="Marianne" w:cs="Marianne" w:eastAsia="Marianne" w:hAnsi="Marianne"/>
                <w:b/>
                <w:bCs/>
                <w:color w:val="3A3A3A"/>
                <w:sz w:val="20"/>
                <w:szCs w:val="20"/>
              </w:rPr>
              <w:t xml:space="preserve">d’économie</w:t>
            </w:r>
          </w:p>
          <w:p>
            <w:pPr>
              <w:jc w:val="center"/>
            </w:pPr>
            <w:r>
              <w:rPr>
                <w:rFonts w:ascii="Marianne" w:cs="Marianne" w:eastAsia="Marianne" w:hAnsi="Marianne"/>
                <w:i/>
                <w:iCs/>
                <w:color w:val="666666"/>
                <w:sz w:val="17"/>
                <w:szCs w:val="17"/>
              </w:rPr>
              <w:t xml:space="preserve">vs. prestation classique</w:t>
            </w:r>
          </w:p>
        </w:tc>
      </w:tr>
    </w:tbl>
    <w:p>
      <w:pPr>
        <w:spacing w:before="160" w:after="0"/>
      </w:pPr>
    </w:p>
    <w:p>
      <w:pPr>
        <w:pStyle w:val="Heading1"/>
        <w:spacing w:before="360" w:after="200"/>
      </w:pPr>
      <w:r>
        <w:rPr>
          <w:rFonts w:ascii="Marianne" w:cs="Marianne" w:eastAsia="Marianne" w:hAnsi="Marianne"/>
          <w:b/>
          <w:bCs/>
          <w:color w:val="000091"/>
          <w:sz w:val="32"/>
          <w:szCs w:val="32"/>
        </w:rPr>
        <w:t xml:space="preserve">2. Le vibe coding en 30 secondes</w:t>
      </w:r>
    </w:p>
    <w:p>
      <w:pPr>
        <w:spacing w:before="80" w:after="80" w:line="276"/>
        <w:jc w:val="both"/>
      </w:pPr>
      <w:r>
        <w:rPr>
          <w:rFonts w:ascii="Marianne" w:cs="Marianne" w:eastAsia="Marianne" w:hAnsi="Marianne"/>
          <w:color w:val="3A3A3A"/>
          <w:sz w:val="21"/>
          <w:szCs w:val="21"/>
        </w:rPr>
        <w:t xml:space="preserve">Le vibe coding est une méthode de développement dans laquelle un professionnel « pilote » une intelligence artificielle pour produire du code. L’humain définit le besoin, valide les choix, contrôle la qualité. L’IA génère, corrige et itère à grande vitesse.</w:t>
      </w:r>
    </w:p>
    <w:p>
      <w:pPr>
        <w:spacing w:before="80" w:after="80" w:line="276"/>
        <w:jc w:val="both"/>
      </w:pPr>
      <w:r>
        <w:rPr>
          <w:rFonts w:ascii="Marianne" w:cs="Marianne" w:eastAsia="Marianne" w:hAnsi="Marianne"/>
          <w:b/>
          <w:bCs/>
          <w:color w:val="3A3A3A"/>
          <w:sz w:val="21"/>
          <w:szCs w:val="21"/>
        </w:rPr>
        <w:t xml:space="preserve">Résultat concret : </w:t>
      </w:r>
      <w:r>
        <w:rPr>
          <w:rFonts w:ascii="Marianne" w:cs="Marianne" w:eastAsia="Marianne" w:hAnsi="Marianne"/>
          <w:color w:val="3A3A3A"/>
          <w:sz w:val="21"/>
          <w:szCs w:val="21"/>
        </w:rPr>
        <w:t xml:space="preserve">un profil qui connaît les métiers du ministère peut produire en quelques jours un outil que la prestation classique livrerait en plusieurs semaines, après spécifications, marché public et cycles de recette.</w:t>
      </w:r>
    </w:p>
    <w:p>
      <w:pPr>
        <w:spacing w:before="80" w:after="80" w:line="276"/>
        <w:jc w:val="both"/>
      </w:pPr>
      <w:r>
        <w:rPr>
          <w:rFonts w:ascii="Marianne" w:cs="Marianne" w:eastAsia="Marianne" w:hAnsi="Marianne"/>
          <w:color w:val="3A3A3A"/>
          <w:sz w:val="21"/>
          <w:szCs w:val="21"/>
        </w:rPr>
        <w:t xml:space="preserve">Ce n’est pas du code « brouillon ». Les outils produits respectent le Design Système de l’État (DSFR), sont testés, documentés, et déployables en production.</w:t>
      </w:r>
    </w:p>
    <w:p>
      <w:pPr>
        <w:pStyle w:val="Heading1"/>
        <w:spacing w:before="360" w:after="200"/>
      </w:pPr>
      <w:r>
        <w:rPr>
          <w:rFonts w:ascii="Marianne" w:cs="Marianne" w:eastAsia="Marianne" w:hAnsi="Marianne"/>
          <w:b/>
          <w:bCs/>
          <w:color w:val="000091"/>
          <w:sz w:val="32"/>
          <w:szCs w:val="32"/>
        </w:rPr>
        <w:t xml:space="preserve">3. 8 outils au service de la communication</w:t>
      </w:r>
    </w:p>
    <w:p>
      <w:pPr>
        <w:spacing w:before="80" w:after="80" w:line="276"/>
        <w:jc w:val="both"/>
      </w:pPr>
      <w:r>
        <w:rPr>
          <w:rFonts w:ascii="Marianne" w:cs="Marianne" w:eastAsia="Marianne" w:hAnsi="Marianne"/>
          <w:color w:val="3A3A3A"/>
          <w:sz w:val="21"/>
          <w:szCs w:val="21"/>
        </w:rPr>
        <w:t xml:space="preserve">Chaque projet est présenté ici sous l’angle de sa valeur pour la Direction de la Communication : quel problème résout-il ? Quelle visibilité apporte-t-il ?</w:t>
      </w:r>
    </w:p>
    <w:p>
      <w:pPr>
        <w:spacing w:before="100" w:after="0"/>
      </w:pPr>
    </w:p>
    <w:p>
      <w:pPr>
        <w:pStyle w:val="Heading2"/>
        <w:spacing w:before="300" w:after="160"/>
      </w:pPr>
      <w:r>
        <w:rPr>
          <w:rFonts w:ascii="Marianne" w:cs="Marianne" w:eastAsia="Marianne" w:hAnsi="Marianne"/>
          <w:b/>
          <w:bCs/>
          <w:color w:val="000091"/>
          <w:sz w:val="26"/>
          <w:szCs w:val="26"/>
        </w:rPr>
        <w:t xml:space="preserve">3.1 Écosystème — La tour de contrôle de vos sites web</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Écosystème (G3)</w:t>
            </w:r>
          </w:p>
          <w:p>
            <w:pPr>
              <w:spacing w:after="100"/>
            </w:pPr>
            <w:r>
              <w:rPr>
                <w:rFonts w:ascii="Marianne" w:cs="Marianne" w:eastAsia="Marianne" w:hAnsi="Marianne"/>
                <w:i/>
                <w:iCs/>
                <w:color w:val="666666"/>
                <w:sz w:val="20"/>
                <w:szCs w:val="20"/>
              </w:rPr>
              <w:t xml:space="preserve">Plateforme de monitoring et gouvernance de l’ensemble des sites web ministériels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Vision consolidée de tous les sites du ministère : état, performance, accessibilité, conformité DSFR</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Alertes proactives sur les certificats SSL, les baisses de performance ou les problèmes d’accessibilité</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Tableau de bord décisionnel pour piloter la qualité de l’image numérique du ministère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Serveur MCP intégré pour interroger les données depuis Claude ou tout assistant IA</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Un site du ministère présente un certificat SSL expiré → l’alerte est envoyée avant que les usagers ne voient un message d’erreur.</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238 000 </w:t>
            </w:r>
            <w:r>
              <w:rPr>
                <w:rFonts w:ascii="Marianne" w:cs="Marianne" w:eastAsia="Marianne" w:hAnsi="Marianne"/>
                <w:color w:val="666666"/>
                <w:sz w:val="18"/>
                <w:szCs w:val="18"/>
              </w:rPr>
              <w:t xml:space="preserve">lignes de code</w:t>
            </w:r>
          </w:p>
          <w:p>
            <w:pPr>
              <w:spacing w:before="30" w:after="30"/>
              <w:jc w:val="right"/>
            </w:pPr>
            <w:r>
              <w:rPr>
                <w:rFonts w:ascii="Marianne" w:cs="Marianne" w:eastAsia="Marianne" w:hAnsi="Marianne"/>
                <w:b/>
                <w:bCs/>
                <w:color w:val="000091"/>
                <w:sz w:val="20"/>
                <w:szCs w:val="20"/>
              </w:rPr>
              <w:t xml:space="preserve">18 </w:t>
            </w:r>
            <w:r>
              <w:rPr>
                <w:rFonts w:ascii="Marianne" w:cs="Marianne" w:eastAsia="Marianne" w:hAnsi="Marianne"/>
                <w:color w:val="666666"/>
                <w:sz w:val="18"/>
                <w:szCs w:val="18"/>
              </w:rPr>
              <w:t xml:space="preserve">scanners automatiques</w:t>
            </w:r>
          </w:p>
          <w:p>
            <w:pPr>
              <w:spacing w:before="30" w:after="30"/>
              <w:jc w:val="right"/>
            </w:pPr>
            <w:r>
              <w:rPr>
                <w:rFonts w:ascii="Marianne" w:cs="Marianne" w:eastAsia="Marianne" w:hAnsi="Marianne"/>
                <w:b/>
                <w:bCs/>
                <w:color w:val="000091"/>
                <w:sz w:val="20"/>
                <w:szCs w:val="20"/>
              </w:rPr>
              <w:t xml:space="preserve">312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3.2 Portail Eco Browser — Connaître votre portail sur le bout des doigts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Portail Eco Browser</w:t>
            </w:r>
          </w:p>
          <w:p>
            <w:pPr>
              <w:spacing w:after="100"/>
            </w:pPr>
            <w:r>
              <w:rPr>
                <w:rFonts w:ascii="Marianne" w:cs="Marianne" w:eastAsia="Marianne" w:hAnsi="Marianne"/>
                <w:i/>
                <w:iCs/>
                <w:color w:val="666666"/>
                <w:sz w:val="20"/>
                <w:szCs w:val="20"/>
              </w:rPr>
              <w:t xml:space="preserve">Outil d’exploration et d’intelligence éditoriale du portail economie.gouv.fr</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Cartographie complète du contenu publié : pages, rubriques, fréquentation, parcours utilisateurs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Analyse sémantique automatisée pour identifier les redondances, lacunes et contenus obsolètes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Croisement multi-sources (Eulerian, Cloudflare, Google Search Console) pour une vision 360° de l’audience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Assistant IA intégré (Albert) pour interroger le contenu en langage naturel</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Le DIRCOM demande « Quels contenus sur la transition énergétique sont les plus consultés et lesquels sont obsolètes ? » → réponse en quelques clics.</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88 500 </w:t>
            </w:r>
            <w:r>
              <w:rPr>
                <w:rFonts w:ascii="Marianne" w:cs="Marianne" w:eastAsia="Marianne" w:hAnsi="Marianne"/>
                <w:color w:val="666666"/>
                <w:sz w:val="18"/>
                <w:szCs w:val="18"/>
              </w:rPr>
              <w:t xml:space="preserve">lignes de code</w:t>
            </w:r>
          </w:p>
          <w:p>
            <w:pPr>
              <w:spacing w:before="30" w:after="30"/>
              <w:jc w:val="right"/>
            </w:pPr>
            <w:r>
              <w:rPr>
                <w:rFonts w:ascii="Marianne" w:cs="Marianne" w:eastAsia="Marianne" w:hAnsi="Marianne"/>
                <w:b/>
                <w:bCs/>
                <w:color w:val="000091"/>
                <w:sz w:val="20"/>
                <w:szCs w:val="20"/>
              </w:rPr>
              <w:t xml:space="preserve">1 290 </w:t>
            </w:r>
            <w:r>
              <w:rPr>
                <w:rFonts w:ascii="Marianne" w:cs="Marianne" w:eastAsia="Marianne" w:hAnsi="Marianne"/>
                <w:color w:val="666666"/>
                <w:sz w:val="18"/>
                <w:szCs w:val="18"/>
              </w:rPr>
              <w:t xml:space="preserve">tests automatisés</w:t>
            </w:r>
          </w:p>
          <w:p>
            <w:pPr>
              <w:spacing w:before="30" w:after="30"/>
              <w:jc w:val="right"/>
            </w:pPr>
            <w:r>
              <w:rPr>
                <w:rFonts w:ascii="Marianne" w:cs="Marianne" w:eastAsia="Marianne" w:hAnsi="Marianne"/>
                <w:b/>
                <w:bCs/>
                <w:color w:val="000091"/>
                <w:sz w:val="20"/>
                <w:szCs w:val="20"/>
              </w:rPr>
              <w:t xml:space="preserve">162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3.3 ChartsBuilder — La dataviz aux couleurs de l’État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ChartsBuilder (gouv-widgets)</w:t>
            </w:r>
          </w:p>
          <w:p>
            <w:pPr>
              <w:spacing w:after="100"/>
            </w:pPr>
            <w:r>
              <w:rPr>
                <w:rFonts w:ascii="Marianne" w:cs="Marianne" w:eastAsia="Marianne" w:hAnsi="Marianne"/>
                <w:i/>
                <w:iCs/>
                <w:color w:val="666666"/>
                <w:sz w:val="20"/>
                <w:szCs w:val="20"/>
              </w:rPr>
              <w:t xml:space="preserve">Bibliothèque de composants de visualisation de données, conforme DSFR, prête à l’emploi</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24 composants graphiques (barres, lignes, camemberts, cartes, KPI, tableaux) au design officiel</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Connecteurs intégrés vers les API publiques (data.gouv.fr, INSEE, OpenDataSoft)</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Builder visuel et builder IA : les rédacteurs web créent des graphiques sans code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Intégrable dans n’importe quel site du ministère par simple copier-coller HTML</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Un rédacteur veut illustrer un article sur le commerce extérieur avec un graphique → il utilise le builder, choisit sa source de données, et obtient un graphique DSFR en 2 minutes.</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24 </w:t>
            </w:r>
            <w:r>
              <w:rPr>
                <w:rFonts w:ascii="Marianne" w:cs="Marianne" w:eastAsia="Marianne" w:hAnsi="Marianne"/>
                <w:color w:val="666666"/>
                <w:sz w:val="18"/>
                <w:szCs w:val="18"/>
              </w:rPr>
              <w:t xml:space="preserve">composants dataviz</w:t>
            </w:r>
          </w:p>
          <w:p>
            <w:pPr>
              <w:spacing w:before="30" w:after="30"/>
              <w:jc w:val="right"/>
            </w:pPr>
            <w:r>
              <w:rPr>
                <w:rFonts w:ascii="Marianne" w:cs="Marianne" w:eastAsia="Marianne" w:hAnsi="Marianne"/>
                <w:b/>
                <w:bCs/>
                <w:color w:val="000091"/>
                <w:sz w:val="20"/>
                <w:szCs w:val="20"/>
              </w:rPr>
              <w:t xml:space="preserve">5 </w:t>
            </w:r>
            <w:r>
              <w:rPr>
                <w:rFonts w:ascii="Marianne" w:cs="Marianne" w:eastAsia="Marianne" w:hAnsi="Marianne"/>
                <w:color w:val="666666"/>
                <w:sz w:val="18"/>
                <w:szCs w:val="18"/>
              </w:rPr>
              <w:t xml:space="preserve">connecteurs API</w:t>
            </w:r>
          </w:p>
          <w:p>
            <w:pPr>
              <w:spacing w:before="30" w:after="30"/>
              <w:jc w:val="right"/>
            </w:pPr>
            <w:r>
              <w:rPr>
                <w:rFonts w:ascii="Marianne" w:cs="Marianne" w:eastAsia="Marianne" w:hAnsi="Marianne"/>
                <w:b/>
                <w:bCs/>
                <w:color w:val="000091"/>
                <w:sz w:val="20"/>
                <w:szCs w:val="20"/>
              </w:rPr>
              <w:t xml:space="preserve">120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3.4 Thème LimeSurvey DSFR — Des enquêtes publiques à l’image de l’État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Thème LimeSurvey DSFR + Plugins</w:t>
            </w:r>
          </w:p>
          <w:p>
            <w:pPr>
              <w:spacing w:after="100"/>
            </w:pPr>
            <w:r>
              <w:rPr>
                <w:rFonts w:ascii="Marianne" w:cs="Marianne" w:eastAsia="Marianne" w:hAnsi="Marianne"/>
                <w:i/>
                <w:iCs/>
                <w:color w:val="666666"/>
                <w:sz w:val="20"/>
                <w:szCs w:val="20"/>
              </w:rPr>
              <w:t xml:space="preserve">Habillage complet du logiciel d’enquêtes LimeSurvey aux couleurs du DSFR</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Toute consultation ou enquête publique peut désormais porter l’identité visuelle de l’État</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Plugin IA conversationnelle (Albert) pour enrichir l’expérience répondant</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Emails de notification également aux couleurs ministérielles (plugin DSFRMail)</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Cohérence visuelle renforcée entre le portail et les outils d’interaction citoyenne</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La prochaine consultation publique du ministère apparaît avec le design officiel, renforçant la crédibilité et la confiance des répondants.</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DSFR </w:t>
            </w:r>
            <w:r>
              <w:rPr>
                <w:rFonts w:ascii="Marianne" w:cs="Marianne" w:eastAsia="Marianne" w:hAnsi="Marianne"/>
                <w:color w:val="666666"/>
                <w:sz w:val="18"/>
                <w:szCs w:val="18"/>
              </w:rPr>
              <w:t xml:space="preserve">complet</w:t>
            </w:r>
          </w:p>
          <w:p>
            <w:pPr>
              <w:spacing w:before="30" w:after="30"/>
              <w:jc w:val="right"/>
            </w:pPr>
            <w:r>
              <w:rPr>
                <w:rFonts w:ascii="Marianne" w:cs="Marianne" w:eastAsia="Marianne" w:hAnsi="Marianne"/>
                <w:b/>
                <w:bCs/>
                <w:color w:val="000091"/>
                <w:sz w:val="20"/>
                <w:szCs w:val="20"/>
              </w:rPr>
              <w:t xml:space="preserve">3 </w:t>
            </w:r>
            <w:r>
              <w:rPr>
                <w:rFonts w:ascii="Marianne" w:cs="Marianne" w:eastAsia="Marianne" w:hAnsi="Marianne"/>
                <w:color w:val="666666"/>
                <w:sz w:val="18"/>
                <w:szCs w:val="18"/>
              </w:rPr>
              <w:t xml:space="preserve">plugins</w:t>
            </w:r>
          </w:p>
          <w:p>
            <w:pPr>
              <w:spacing w:before="30" w:after="30"/>
              <w:jc w:val="right"/>
            </w:pPr>
            <w:r>
              <w:rPr>
                <w:rFonts w:ascii="Marianne" w:cs="Marianne" w:eastAsia="Marianne" w:hAnsi="Marianne"/>
                <w:b/>
                <w:bCs/>
                <w:color w:val="000091"/>
                <w:sz w:val="20"/>
                <w:szCs w:val="20"/>
              </w:rPr>
              <w:t xml:space="preserve">27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3.5 Organigrammes — Automatiser la production du studio graphique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Organigrammes service public</w:t>
            </w:r>
          </w:p>
          <w:p>
            <w:pPr>
              <w:spacing w:after="100"/>
            </w:pPr>
            <w:r>
              <w:rPr>
                <w:rFonts w:ascii="Marianne" w:cs="Marianne" w:eastAsia="Marianne" w:hAnsi="Marianne"/>
                <w:i/>
                <w:iCs/>
                <w:color w:val="666666"/>
                <w:sz w:val="20"/>
                <w:szCs w:val="20"/>
              </w:rPr>
              <w:t xml:space="preserve">Générateur automatique d’organigrammes à partir de l’API Annuaire du service public</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Automatisation d’un processus chronophage du studio graphique ministériel</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Génération en un clic de l’arbre hiérarchique de n’importe quel organisme public</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Deux modes de rendu : HTML/CSS pour l’impression, D3 interactif pour le web</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Export multi-format : PNG, SVG, PDF (A4/A3), JSON, CSV</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Le studio graphique reçoit une demande d’organigramme d’une direction → au lieu de 2 jours de travail manuel, l’outil le génère en 30 secondes.</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DSFR </w:t>
            </w:r>
            <w:r>
              <w:rPr>
                <w:rFonts w:ascii="Marianne" w:cs="Marianne" w:eastAsia="Marianne" w:hAnsi="Marianne"/>
                <w:color w:val="666666"/>
                <w:sz w:val="18"/>
                <w:szCs w:val="18"/>
              </w:rPr>
              <w:t xml:space="preserve">natif</w:t>
            </w:r>
          </w:p>
          <w:p>
            <w:pPr>
              <w:spacing w:before="30" w:after="30"/>
              <w:jc w:val="right"/>
            </w:pPr>
            <w:r>
              <w:rPr>
                <w:rFonts w:ascii="Marianne" w:cs="Marianne" w:eastAsia="Marianne" w:hAnsi="Marianne"/>
                <w:b/>
                <w:bCs/>
                <w:color w:val="000091"/>
                <w:sz w:val="20"/>
                <w:szCs w:val="20"/>
              </w:rPr>
              <w:t xml:space="preserve">30 sec </w:t>
            </w:r>
            <w:r>
              <w:rPr>
                <w:rFonts w:ascii="Marianne" w:cs="Marianne" w:eastAsia="Marianne" w:hAnsi="Marianne"/>
                <w:color w:val="666666"/>
                <w:sz w:val="18"/>
                <w:szCs w:val="18"/>
              </w:rPr>
              <w:t xml:space="preserve">par organigramme</w:t>
            </w:r>
          </w:p>
          <w:p>
            <w:pPr>
              <w:spacing w:before="30" w:after="30"/>
              <w:jc w:val="right"/>
            </w:pPr>
            <w:r>
              <w:rPr>
                <w:rFonts w:ascii="Marianne" w:cs="Marianne" w:eastAsia="Marianne" w:hAnsi="Marianne"/>
                <w:b/>
                <w:bCs/>
                <w:color w:val="000091"/>
                <w:sz w:val="20"/>
                <w:szCs w:val="20"/>
              </w:rPr>
              <w:t xml:space="preserve">6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3.6 Comparateurs grand public — Valoriser les données du ministère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Prix Contrôle Technique &amp; Tarifs Bancaires</w:t>
            </w:r>
          </w:p>
          <w:p>
            <w:pPr>
              <w:spacing w:after="100"/>
            </w:pPr>
            <w:r>
              <w:rPr>
                <w:rFonts w:ascii="Marianne" w:cs="Marianne" w:eastAsia="Marianne" w:hAnsi="Marianne"/>
                <w:i/>
                <w:iCs/>
                <w:color w:val="666666"/>
                <w:sz w:val="20"/>
                <w:szCs w:val="20"/>
              </w:rPr>
              <w:t xml:space="preserve">Deux démonstrateurs de services grand public basés sur les données ouvertes du ministère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Démonstration concrète de la valeur des open data pour les citoyens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Outils directement publiables sur le portail pour accroître le trafic et l’utilité perçue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Design DSFR natif, responsive, accessible — prêts à communiquer</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Carte interactive, filtres, comparaisons — engageants pour les usagers</w:t>
            </w:r>
          </w:p>
          <w:p>
            <w:pPr>
              <w:spacing w:before="80" w:after="0"/>
            </w:pPr>
          </w:p>
          <w:p>
            <w:pPr>
              <w:spacing w:before="40" w:after="40"/>
            </w:pPr>
            <w:r>
              <w:rPr>
                <w:rFonts w:ascii="Marianne" w:cs="Marianne" w:eastAsia="Marianne" w:hAnsi="Marianne"/>
                <w:b/>
                <w:bCs/>
                <w:color w:val="3A3A3A"/>
                <w:sz w:val="19"/>
                <w:szCs w:val="19"/>
              </w:rPr>
              <w:t xml:space="preserve">Exemple concret : </w:t>
            </w:r>
            <w:r>
              <w:rPr>
                <w:rFonts w:ascii="Marianne" w:cs="Marianne" w:eastAsia="Marianne" w:hAnsi="Marianne"/>
                <w:i/>
                <w:iCs/>
                <w:color w:val="3A3A3A"/>
                <w:sz w:val="19"/>
                <w:szCs w:val="19"/>
              </w:rPr>
              <w:t xml:space="preserve">Un citoyen cherche le prix du contrôle technique près de chez lui → le comparateur du ministère lui répond, renforçant la visibilité du portail.</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2 </w:t>
            </w:r>
            <w:r>
              <w:rPr>
                <w:rFonts w:ascii="Marianne" w:cs="Marianne" w:eastAsia="Marianne" w:hAnsi="Marianne"/>
                <w:color w:val="666666"/>
                <w:sz w:val="18"/>
                <w:szCs w:val="18"/>
              </w:rPr>
              <w:t xml:space="preserve">POC fonctionnels</w:t>
            </w:r>
          </w:p>
          <w:p>
            <w:pPr>
              <w:spacing w:before="30" w:after="30"/>
              <w:jc w:val="right"/>
            </w:pPr>
            <w:r>
              <w:rPr>
                <w:rFonts w:ascii="Marianne" w:cs="Marianne" w:eastAsia="Marianne" w:hAnsi="Marianne"/>
                <w:b/>
                <w:bCs/>
                <w:color w:val="000091"/>
                <w:sz w:val="20"/>
                <w:szCs w:val="20"/>
              </w:rPr>
              <w:t xml:space="preserve">API </w:t>
            </w:r>
            <w:r>
              <w:rPr>
                <w:rFonts w:ascii="Marianne" w:cs="Marianne" w:eastAsia="Marianne" w:hAnsi="Marianne"/>
                <w:color w:val="666666"/>
                <w:sz w:val="18"/>
                <w:szCs w:val="18"/>
              </w:rPr>
              <w:t xml:space="preserve">data.economie.gouv.fr</w:t>
            </w:r>
          </w:p>
          <w:p>
            <w:pPr>
              <w:spacing w:before="30" w:after="30"/>
              <w:jc w:val="right"/>
            </w:pPr>
            <w:r>
              <w:rPr>
                <w:rFonts w:ascii="Marianne" w:cs="Marianne" w:eastAsia="Marianne" w:hAnsi="Marianne"/>
                <w:b/>
                <w:bCs/>
                <w:color w:val="000091"/>
                <w:sz w:val="20"/>
                <w:szCs w:val="20"/>
              </w:rPr>
              <w:t xml:space="preserve">27 K€ </w:t>
            </w:r>
            <w:r>
              <w:rPr>
                <w:rFonts w:ascii="Marianne" w:cs="Marianne" w:eastAsia="Marianne" w:hAnsi="Marianne"/>
                <w:color w:val="666666"/>
                <w:sz w:val="18"/>
                <w:szCs w:val="18"/>
              </w:rPr>
              <w:t xml:space="preserve">coût presta. équiv.</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3.7 LeFouineur — Veiller à la qualité des contributions web</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66"/>
        <w:gridCol w:w="3160"/>
      </w:tblGrid>
      <w:tr>
        <w:tc>
          <w:tcPr>
            <w:tcW w:type="dxa" w:w="5866"/>
            <w:tcBorders>
              <w:top w:val="single" w:color="000091" w:sz="4"/>
              <w:left w:val="single" w:color="DDDDDD" w:sz="1"/>
              <w:bottom w:val="single" w:color="DDDDDD" w:sz="1"/>
              <w:right w:val="none"/>
            </w:tcBorders>
            <w:shd w:fill="FFFFFF" w:val="clear"/>
            <w:tcMar>
              <w:top w:type="dxa" w:w="180"/>
              <w:left w:type="dxa" w:w="200"/>
              <w:bottom w:type="dxa" w:w="180"/>
              <w:right w:type="dxa" w:w="160"/>
            </w:tcMar>
          </w:tcPr>
          <w:p>
            <w:pPr>
              <w:spacing w:after="80"/>
            </w:pPr>
            <w:r>
              <w:rPr>
                <w:rFonts w:ascii="Marianne" w:cs="Marianne" w:eastAsia="Marianne" w:hAnsi="Marianne"/>
                <w:b/>
                <w:bCs/>
                <w:color w:val="000091"/>
                <w:sz w:val="24"/>
                <w:szCs w:val="24"/>
              </w:rPr>
              <w:t xml:space="preserve">LeFouineur (Extension navigateur)</w:t>
            </w:r>
          </w:p>
          <w:p>
            <w:pPr>
              <w:spacing w:after="100"/>
            </w:pPr>
            <w:r>
              <w:rPr>
                <w:rFonts w:ascii="Marianne" w:cs="Marianne" w:eastAsia="Marianne" w:hAnsi="Marianne"/>
                <w:i/>
                <w:iCs/>
                <w:color w:val="666666"/>
                <w:sz w:val="20"/>
                <w:szCs w:val="20"/>
              </w:rPr>
              <w:t xml:space="preserve">Extension navigateur d’alerte et d’analyse qualité pour les contributeurs web du ministère</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Alerte en temps réel les rédacteurs sur la qualité de leurs publications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Vérification automatisée des bonnes pratiques éditoriales et techniques</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Outil léger (90 Ko), sans installation complexe, déployable immédiatement</w:t>
            </w:r>
          </w:p>
          <w:p>
            <w:pPr>
              <w:spacing w:before="40" w:after="40" w:line="260"/>
            </w:pPr>
            <w:r>
              <w:rPr>
                <w:rFonts w:ascii="Marianne" w:cs="Marianne" w:eastAsia="Marianne" w:hAnsi="Marianne"/>
                <w:b/>
                <w:bCs/>
                <w:color w:val="000091"/>
                <w:sz w:val="20"/>
                <w:szCs w:val="20"/>
              </w:rPr>
              <w:t xml:space="preserve">→ </w:t>
            </w:r>
            <w:r>
              <w:rPr>
                <w:rFonts w:ascii="Marianne" w:cs="Marianne" w:eastAsia="Marianne" w:hAnsi="Marianne"/>
                <w:color w:val="3A3A3A"/>
                <w:sz w:val="20"/>
                <w:szCs w:val="20"/>
              </w:rPr>
              <w:t xml:space="preserve">Amélioration continue de la qualité des contenus publiés sur le portail</w:t>
            </w:r>
          </w:p>
        </w:tc>
        <w:tc>
          <w:tcPr>
            <w:tcW w:type="dxa" w:w="3160"/>
            <w:tcBorders>
              <w:top w:val="single" w:color="000091" w:sz="4"/>
              <w:left w:val="none"/>
              <w:bottom w:val="single" w:color="DDDDDD" w:sz="1"/>
              <w:right w:val="single" w:color="DDDDDD" w:sz="1"/>
            </w:tcBorders>
            <w:shd w:fill="F6F6F6" w:val="clear"/>
            <w:tcMar>
              <w:top w:type="dxa" w:w="180"/>
              <w:left w:type="dxa" w:w="160"/>
              <w:bottom w:type="dxa" w:w="180"/>
              <w:right w:type="dxa" w:w="200"/>
            </w:tcMar>
            <w:vAlign w:val="center"/>
          </w:tcPr>
          <w:p>
            <w:pPr>
              <w:spacing w:before="30" w:after="30"/>
              <w:jc w:val="right"/>
            </w:pPr>
            <w:r>
              <w:rPr>
                <w:rFonts w:ascii="Marianne" w:cs="Marianne" w:eastAsia="Marianne" w:hAnsi="Marianne"/>
                <w:b/>
                <w:bCs/>
                <w:color w:val="000091"/>
                <w:sz w:val="20"/>
                <w:szCs w:val="20"/>
              </w:rPr>
              <w:t xml:space="preserve">90 Ko </w:t>
            </w:r>
            <w:r>
              <w:rPr>
                <w:rFonts w:ascii="Marianne" w:cs="Marianne" w:eastAsia="Marianne" w:hAnsi="Marianne"/>
                <w:color w:val="666666"/>
                <w:sz w:val="18"/>
                <w:szCs w:val="18"/>
              </w:rPr>
              <w:t xml:space="preserve">ultra-léger</w:t>
            </w:r>
          </w:p>
          <w:p>
            <w:pPr>
              <w:spacing w:before="30" w:after="30"/>
              <w:jc w:val="right"/>
            </w:pPr>
            <w:r>
              <w:rPr>
                <w:rFonts w:ascii="Marianne" w:cs="Marianne" w:eastAsia="Marianne" w:hAnsi="Marianne"/>
                <w:b/>
                <w:bCs/>
                <w:color w:val="000091"/>
                <w:sz w:val="20"/>
                <w:szCs w:val="20"/>
              </w:rPr>
              <w:t xml:space="preserve">0 </w:t>
            </w:r>
            <w:r>
              <w:rPr>
                <w:rFonts w:ascii="Marianne" w:cs="Marianne" w:eastAsia="Marianne" w:hAnsi="Marianne"/>
                <w:color w:val="666666"/>
                <w:sz w:val="18"/>
                <w:szCs w:val="18"/>
              </w:rPr>
              <w:t xml:space="preserve">dépendance externe</w:t>
            </w:r>
          </w:p>
          <w:p>
            <w:pPr>
              <w:spacing w:before="30" w:after="30"/>
              <w:jc w:val="right"/>
            </w:pPr>
            <w:r>
              <w:rPr>
                <w:rFonts w:ascii="Marianne" w:cs="Marianne" w:eastAsia="Marianne" w:hAnsi="Marianne"/>
                <w:b/>
                <w:bCs/>
                <w:color w:val="000091"/>
                <w:sz w:val="20"/>
                <w:szCs w:val="20"/>
              </w:rPr>
              <w:t xml:space="preserve">9 K€ </w:t>
            </w:r>
            <w:r>
              <w:rPr>
                <w:rFonts w:ascii="Marianne" w:cs="Marianne" w:eastAsia="Marianne" w:hAnsi="Marianne"/>
                <w:color w:val="666666"/>
                <w:sz w:val="18"/>
                <w:szCs w:val="18"/>
              </w:rPr>
              <w:t xml:space="preserve">coût presta. équiv.</w:t>
            </w:r>
          </w:p>
        </w:tc>
      </w:tr>
    </w:tbl>
    <w:p>
      <w:r>
        <w:br w:type="page"/>
      </w:r>
    </w:p>
    <w:p>
      <w:pPr>
        <w:pStyle w:val="Heading1"/>
        <w:spacing w:before="360" w:after="200"/>
      </w:pPr>
      <w:r>
        <w:rPr>
          <w:rFonts w:ascii="Marianne" w:cs="Marianne" w:eastAsia="Marianne" w:hAnsi="Marianne"/>
          <w:b/>
          <w:bCs/>
          <w:color w:val="000091"/>
          <w:sz w:val="32"/>
          <w:szCs w:val="32"/>
        </w:rPr>
        <w:t xml:space="preserve">4. Synthèse des coûts</w:t>
      </w:r>
    </w:p>
    <w:p>
      <w:pPr>
        <w:spacing w:before="80" w:after="80" w:line="276"/>
        <w:jc w:val="both"/>
      </w:pPr>
      <w:r>
        <w:rPr>
          <w:rFonts w:ascii="Marianne" w:cs="Marianne" w:eastAsia="Marianne" w:hAnsi="Marianne"/>
          <w:color w:val="3A3A3A"/>
          <w:sz w:val="21"/>
          <w:szCs w:val="21"/>
        </w:rPr>
        <w:t xml:space="preserve">Le tableau ci-dessous consolide les estimations pour l’ensemble des 8 projets, sur la base d’un TJM prestataire de 600 € (développeur junior/intermédiaire en marché public).</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29"/>
        <w:gridCol w:w="1985"/>
        <w:gridCol w:w="1985"/>
        <w:gridCol w:w="1627"/>
      </w:tblGrid>
      <w:tr>
        <w:tc>
          <w:tcPr>
            <w:tcW w:type="dxa" w:w="3429"/>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Projet</w:t>
            </w:r>
          </w:p>
        </w:tc>
        <w:tc>
          <w:tcPr>
            <w:tcW w:type="dxa" w:w="1985"/>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LOC</w:t>
            </w:r>
          </w:p>
        </w:tc>
        <w:tc>
          <w:tcPr>
            <w:tcW w:type="dxa" w:w="1985"/>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Jours-homme</w:t>
            </w:r>
          </w:p>
        </w:tc>
        <w:tc>
          <w:tcPr>
            <w:tcW w:type="dxa" w:w="1627"/>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Coût presta.</w:t>
            </w:r>
          </w:p>
        </w:tc>
      </w:tr>
      <w:tr>
        <w:tc>
          <w:tcPr>
            <w:tcW w:type="dxa" w:w="342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Écosystème — Gouvernance web</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238 000</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520 j/h</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312 000 €</w:t>
            </w:r>
          </w:p>
        </w:tc>
      </w:tr>
      <w:tr>
        <w:tc>
          <w:tcPr>
            <w:tcW w:type="dxa" w:w="342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Portail Eco Browser</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88 500</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270 j/h</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162 000 €</w:t>
            </w:r>
          </w:p>
        </w:tc>
      </w:tr>
      <w:tr>
        <w:tc>
          <w:tcPr>
            <w:tcW w:type="dxa" w:w="342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ChartsBuilder (gouv-widgets)</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41 500</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200 j/h</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120 000 €</w:t>
            </w:r>
          </w:p>
        </w:tc>
      </w:tr>
      <w:tr>
        <w:tc>
          <w:tcPr>
            <w:tcW w:type="dxa" w:w="342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Thème LimeSurvey DSFR</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45 j/h</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27 000 €</w:t>
            </w:r>
          </w:p>
        </w:tc>
      </w:tr>
      <w:tr>
        <w:tc>
          <w:tcPr>
            <w:tcW w:type="dxa" w:w="342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Organigrammes service public</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10 j/h</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6 000 €</w:t>
            </w:r>
          </w:p>
        </w:tc>
      </w:tr>
      <w:tr>
        <w:tc>
          <w:tcPr>
            <w:tcW w:type="dxa" w:w="342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Prix Contrôle Technique</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3 300</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25 j/h</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15 000 €</w:t>
            </w:r>
          </w:p>
        </w:tc>
      </w:tr>
      <w:tr>
        <w:tc>
          <w:tcPr>
            <w:tcW w:type="dxa" w:w="342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Tarifs Bancaires</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2 100</w:t>
            </w:r>
          </w:p>
        </w:tc>
        <w:tc>
          <w:tcPr>
            <w:tcW w:type="dxa" w:w="1985"/>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20 j/h</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12 000 €</w:t>
            </w:r>
          </w:p>
        </w:tc>
      </w:tr>
      <w:tr>
        <w:tc>
          <w:tcPr>
            <w:tcW w:type="dxa" w:w="342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LeFouineur (extension)</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2 000</w:t>
            </w:r>
          </w:p>
        </w:tc>
        <w:tc>
          <w:tcPr>
            <w:tcW w:type="dxa" w:w="1985"/>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15 j/h</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9 000 €</w:t>
            </w:r>
          </w:p>
        </w:tc>
      </w:tr>
      <w:tr>
        <w:tc>
          <w:tcPr>
            <w:tcW w:type="dxa" w:w="3429"/>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left"/>
            </w:pPr>
            <w:r>
              <w:rPr>
                <w:rFonts w:ascii="Marianne" w:cs="Marianne" w:eastAsia="Marianne" w:hAnsi="Marianne"/>
                <w:b/>
                <w:bCs/>
                <w:color w:val="3A3A3A"/>
                <w:sz w:val="19"/>
                <w:szCs w:val="19"/>
              </w:rPr>
              <w:t xml:space="preserve">TOTAL</w:t>
            </w:r>
          </w:p>
        </w:tc>
        <w:tc>
          <w:tcPr>
            <w:tcW w:type="dxa" w:w="1985"/>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9"/>
                <w:szCs w:val="19"/>
              </w:rPr>
              <w:t xml:space="preserve">~376 000</w:t>
            </w:r>
          </w:p>
        </w:tc>
        <w:tc>
          <w:tcPr>
            <w:tcW w:type="dxa" w:w="1985"/>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9"/>
                <w:szCs w:val="19"/>
              </w:rPr>
              <w:t xml:space="preserve">1 105 j/h</w:t>
            </w:r>
          </w:p>
        </w:tc>
        <w:tc>
          <w:tcPr>
            <w:tcW w:type="dxa" w:w="1627"/>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9"/>
                <w:szCs w:val="19"/>
              </w:rPr>
              <w:t xml:space="preserve">663 000 €</w:t>
            </w:r>
          </w:p>
        </w:tc>
      </w:tr>
    </w:tbl>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COÛT PRESTATAIRE ESTIMÉ : 663 000 € (1 105 jours-homme, équipes de 1 à 4 développeurs)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COÛT VIBE CODING ESTIMÉ : ~80 000 € équivalent (130 jours-homme, 1 agent + IA)</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000091"/>
                <w:sz w:val="21"/>
                <w:szCs w:val="21"/>
              </w:rPr>
              <w:t xml:space="preserve">ÉCONOMIE ESTIMÉE : 583 000 €, soit 88 % du coût prestataire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19"/>
                <w:szCs w:val="19"/>
              </w:rPr>
              <w:t xml:space="preserve">Note : ces estimations n’incluent pas les coûts de pilotage, contractualisation, réunions de suivi et recette qui majorent significativement le coût prestataire réel.</w:t>
            </w:r>
          </w:p>
        </w:tc>
      </w:tr>
    </w:tbl>
    <w:p>
      <w:pPr>
        <w:pStyle w:val="Heading1"/>
        <w:spacing w:before="360" w:after="200"/>
      </w:pPr>
      <w:r>
        <w:rPr>
          <w:rFonts w:ascii="Marianne" w:cs="Marianne" w:eastAsia="Marianne" w:hAnsi="Marianne"/>
          <w:b/>
          <w:bCs/>
          <w:color w:val="000091"/>
          <w:sz w:val="32"/>
          <w:szCs w:val="32"/>
        </w:rPr>
        <w:t xml:space="preserve">5. Ce que le vibe coding change pour la communication</w:t>
      </w:r>
    </w:p>
    <w:p>
      <w:pPr>
        <w:pStyle w:val="Heading2"/>
        <w:spacing w:before="300" w:after="160"/>
      </w:pPr>
      <w:r>
        <w:rPr>
          <w:rFonts w:ascii="Marianne" w:cs="Marianne" w:eastAsia="Marianne" w:hAnsi="Marianne"/>
          <w:b/>
          <w:bCs/>
          <w:color w:val="000091"/>
          <w:sz w:val="26"/>
          <w:szCs w:val="26"/>
        </w:rPr>
        <w:t xml:space="preserve">5.1 De l’idée à l’outil en quelques jours</w:t>
      </w:r>
    </w:p>
    <w:p>
      <w:pPr>
        <w:spacing w:before="80" w:after="80" w:line="276"/>
        <w:jc w:val="both"/>
      </w:pPr>
      <w:r>
        <w:rPr>
          <w:rFonts w:ascii="Marianne" w:cs="Marianne" w:eastAsia="Marianne" w:hAnsi="Marianne"/>
          <w:color w:val="3A3A3A"/>
          <w:sz w:val="21"/>
          <w:szCs w:val="21"/>
        </w:rPr>
        <w:t xml:space="preserve">Le principal levier pour une direction de la communication est la vélocité. Quand un besoin émerge — une consultation à habiller, un jeu de données à valoriser, un organigramme à produire — le vibe coding permet de passer de l’idée à un prototype fonctionnel en jours au lieu de semaines. Sans cahier des charges, sans marché public, sans allers-retours de spécifications.</w:t>
      </w:r>
    </w:p>
    <w:p>
      <w:pPr>
        <w:pStyle w:val="Heading2"/>
        <w:spacing w:before="300" w:after="160"/>
      </w:pPr>
      <w:r>
        <w:rPr>
          <w:rFonts w:ascii="Marianne" w:cs="Marianne" w:eastAsia="Marianne" w:hAnsi="Marianne"/>
          <w:b/>
          <w:bCs/>
          <w:color w:val="000091"/>
          <w:sz w:val="26"/>
          <w:szCs w:val="26"/>
        </w:rPr>
        <w:t xml:space="preserve">5.2 Maîtriser l’image numérique du ministère</w:t>
      </w:r>
    </w:p>
    <w:p>
      <w:pPr>
        <w:spacing w:before="80" w:after="80" w:line="276"/>
        <w:jc w:val="both"/>
      </w:pPr>
      <w:r>
        <w:rPr>
          <w:rFonts w:ascii="Marianne" w:cs="Marianne" w:eastAsia="Marianne" w:hAnsi="Marianne"/>
          <w:color w:val="3A3A3A"/>
          <w:sz w:val="21"/>
          <w:szCs w:val="21"/>
        </w:rPr>
        <w:t xml:space="preserve">Avec Écosystème, la Direction de la Communication dispose d’une vision en temps réel de l’état de santé de tous les sites web ministériels. Un certificat qui expire, une page inaccessible, un site non conforme au DSFR : ces problèmes d’image sont détectés et signalés avant que les usagers ne les rencontrent.</w:t>
      </w:r>
    </w:p>
    <w:p>
      <w:pPr>
        <w:pStyle w:val="Heading2"/>
        <w:spacing w:before="300" w:after="160"/>
      </w:pPr>
      <w:r>
        <w:rPr>
          <w:rFonts w:ascii="Marianne" w:cs="Marianne" w:eastAsia="Marianne" w:hAnsi="Marianne"/>
          <w:b/>
          <w:bCs/>
          <w:color w:val="000091"/>
          <w:sz w:val="26"/>
          <w:szCs w:val="26"/>
        </w:rPr>
        <w:t xml:space="preserve">5.3 Enrichir le portail avec de la valeur d’usage</w:t>
      </w:r>
    </w:p>
    <w:p>
      <w:pPr>
        <w:spacing w:before="80" w:after="80" w:line="276"/>
        <w:jc w:val="both"/>
      </w:pPr>
      <w:r>
        <w:rPr>
          <w:rFonts w:ascii="Marianne" w:cs="Marianne" w:eastAsia="Marianne" w:hAnsi="Marianne"/>
          <w:color w:val="3A3A3A"/>
          <w:sz w:val="21"/>
          <w:szCs w:val="21"/>
        </w:rPr>
        <w:t xml:space="preserve">Les comparateurs, la dataviz et les organigrammes ne sont pas de la technique : ce sont des contenus à forte valeur ajoutée pour les citoyens. Chaque outil intégrable au portail est un levier de trafic, d’engagement et de perception positive du ministère.</w:t>
      </w:r>
    </w:p>
    <w:p>
      <w:pPr>
        <w:pStyle w:val="Heading2"/>
        <w:spacing w:before="300" w:after="160"/>
      </w:pPr>
      <w:r>
        <w:rPr>
          <w:rFonts w:ascii="Marianne" w:cs="Marianne" w:eastAsia="Marianne" w:hAnsi="Marianne"/>
          <w:b/>
          <w:bCs/>
          <w:color w:val="000091"/>
          <w:sz w:val="26"/>
          <w:szCs w:val="26"/>
        </w:rPr>
        <w:t xml:space="preserve">5.4 Cohérence de marque sur tous les supports</w:t>
      </w:r>
    </w:p>
    <w:p>
      <w:pPr>
        <w:spacing w:before="80" w:after="80" w:line="276"/>
        <w:jc w:val="both"/>
      </w:pPr>
      <w:r>
        <w:rPr>
          <w:rFonts w:ascii="Marianne" w:cs="Marianne" w:eastAsia="Marianne" w:hAnsi="Marianne"/>
          <w:color w:val="3A3A3A"/>
          <w:sz w:val="21"/>
          <w:szCs w:val="21"/>
        </w:rPr>
        <w:t xml:space="preserve">Du thème LimeSurvey aux graphiques ChartsBuilder en passant par les organigrammes, tous les outils respectent nativement le DSFR. L’identité visuelle de l’État est portée de manière cohérente sur chaque point de contact numérique avec le citoyen.</w:t>
      </w:r>
    </w:p>
    <w:p>
      <w:pPr>
        <w:pStyle w:val="Heading2"/>
        <w:spacing w:before="300" w:after="160"/>
      </w:pPr>
      <w:r>
        <w:rPr>
          <w:rFonts w:ascii="Marianne" w:cs="Marianne" w:eastAsia="Marianne" w:hAnsi="Marianne"/>
          <w:b/>
          <w:bCs/>
          <w:color w:val="000091"/>
          <w:sz w:val="26"/>
          <w:szCs w:val="26"/>
        </w:rPr>
        <w:t xml:space="preserve">5.5 Souveraineté et sécurité</w:t>
      </w:r>
    </w:p>
    <w:p>
      <w:pPr>
        <w:spacing w:before="80" w:after="80" w:line="276"/>
        <w:jc w:val="both"/>
      </w:pPr>
      <w:r>
        <w:rPr>
          <w:rFonts w:ascii="Marianne" w:cs="Marianne" w:eastAsia="Marianne" w:hAnsi="Marianne"/>
          <w:color w:val="3A3A3A"/>
          <w:sz w:val="21"/>
          <w:szCs w:val="21"/>
        </w:rPr>
        <w:t xml:space="preserve">Plusieurs outils intègrent Albert, l’IA souveraine d’Etalab, et se connectent exclusivement aux API publiques françaises. Le code reste sous contrôle complet de l’administration, hébergé sur GitHub et déployable sur infrastructure souveraine.</w:t>
      </w:r>
    </w:p>
    <w:p>
      <w:pPr>
        <w:pStyle w:val="Heading2"/>
        <w:spacing w:before="300" w:after="160"/>
      </w:pPr>
      <w:r>
        <w:rPr>
          <w:rFonts w:ascii="Marianne" w:cs="Marianne" w:eastAsia="Marianne" w:hAnsi="Marianne"/>
          <w:b/>
          <w:bCs/>
          <w:color w:val="000091"/>
          <w:sz w:val="26"/>
          <w:szCs w:val="26"/>
        </w:rPr>
        <w:t xml:space="preserve">5.6 L’IA ne remplace pas les compétences — elle débloque ce qui était impossible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Aucun de ces 8 projets n’aurait été réalisé sans l’IA. Non pas parce que les compétences manquent, mais parce que les circuits classiques rendent leur coût et leur délai disproportionnés par rapport au besoin.</w:t>
            </w:r>
          </w:p>
        </w:tc>
      </w:tr>
    </w:tbl>
    <w:p>
      <w:pPr>
        <w:spacing w:before="80" w:after="0"/>
      </w:pPr>
    </w:p>
    <w:p>
      <w:pPr>
        <w:spacing w:before="80" w:after="80" w:line="276"/>
        <w:jc w:val="both"/>
      </w:pPr>
      <w:r>
        <w:rPr>
          <w:rFonts w:ascii="Marianne" w:cs="Marianne" w:eastAsia="Marianne" w:hAnsi="Marianne"/>
          <w:color w:val="3A3A3A"/>
          <w:sz w:val="21"/>
          <w:szCs w:val="21"/>
        </w:rPr>
        <w:t xml:space="preserve">Il est essentiel de lever une ambiguïté : ces outils n’ont pas été produits par l’IA au détriment de développeurs humains. Ils n’auraient tout simplement jamais existé autrement. Aucun responsable n’aurait lancé un marché public de 312 000 € pour une plateforme de monitoring, ni mobilisé 3 développeurs pendant 5 mois pour un générateur d’organigrammes ou un comparateur de tarifs bancaires. Ces besoins sont réels, mais leur rapport coût/bénéfice ne justifie pas une prestation classique.</w:t>
      </w:r>
    </w:p>
    <w:p>
      <w:pPr>
        <w:spacing w:before="80" w:after="80" w:line="276"/>
        <w:jc w:val="both"/>
      </w:pPr>
      <w:r>
        <w:rPr>
          <w:rFonts w:ascii="Marianne" w:cs="Marianne" w:eastAsia="Marianne" w:hAnsi="Marianne"/>
          <w:b/>
          <w:bCs/>
          <w:color w:val="3A3A3A"/>
          <w:sz w:val="21"/>
          <w:szCs w:val="21"/>
        </w:rPr>
        <w:t xml:space="preserve">C’est précisément là que le vibe coding change la donne : il rend viable ce qui était déraisonnable. </w:t>
      </w:r>
      <w:r>
        <w:rPr>
          <w:rFonts w:ascii="Marianne" w:cs="Marianne" w:eastAsia="Marianne" w:hAnsi="Marianne"/>
          <w:color w:val="3A3A3A"/>
          <w:sz w:val="21"/>
          <w:szCs w:val="21"/>
        </w:rPr>
        <w:t xml:space="preserve">Un besoin ponctuel — habiller une consultation, visualiser un jeu de données, automatiser un processus du studio graphique — trouve sa réponse en quelques jours au lieu de plusieurs mois. L’outil peut être pérenne, ou il peut être jetable : peu importe, car son coût de production est devenu marginal.</w:t>
      </w:r>
    </w:p>
    <w:p>
      <w:pPr>
        <w:spacing w:before="80" w:after="80" w:line="276"/>
        <w:jc w:val="both"/>
      </w:pPr>
      <w:r>
        <w:rPr>
          <w:rFonts w:ascii="Marianne" w:cs="Marianne" w:eastAsia="Marianne" w:hAnsi="Marianne"/>
          <w:color w:val="3A3A3A"/>
          <w:sz w:val="21"/>
          <w:szCs w:val="21"/>
        </w:rPr>
        <w:t xml:space="preserve">Dans le circuit classique, le temps joue contre le projet : le temps de spécifier le besoin, de rédiger un cahier des charges, de passer un marché, de suivre le développement, de recetter, le contexte a souvent changé. L’urgence est passée, la réorganisation a eu lieu, le nouveau portail a été lancé. L’outil livré six mois plus tard ne correspond plus tout à fait au besoin initial.</w:t>
      </w:r>
    </w:p>
    <w:p>
      <w:pPr>
        <w:spacing w:before="80" w:after="80" w:line="276"/>
        <w:jc w:val="both"/>
      </w:pPr>
      <w:r>
        <w:rPr>
          <w:rFonts w:ascii="Marianne" w:cs="Marianne" w:eastAsia="Marianne" w:hAnsi="Marianne"/>
          <w:color w:val="3A3A3A"/>
          <w:sz w:val="21"/>
          <w:szCs w:val="21"/>
        </w:rPr>
        <w:t xml:space="preserve">Le vibe coding inverse cette logique : on répond au besoin quand il se présente, avec un outil calibré pour l’instant présent. </w:t>
      </w:r>
      <w:r>
        <w:rPr>
          <w:rFonts w:ascii="Marianne" w:cs="Marianne" w:eastAsia="Marianne" w:hAnsi="Marianne"/>
          <w:i/>
          <w:iCs/>
          <w:color w:val="3A3A3A"/>
          <w:sz w:val="21"/>
          <w:szCs w:val="21"/>
        </w:rPr>
        <w:t xml:space="preserve">Si le besoin évolue, on adapte l’outil en quelques heures. S’il disparaît, on passe à autre chose sans regret — le coût engagé reste dérisoire.</w:t>
      </w:r>
    </w:p>
    <w:p>
      <w:pPr>
        <w:spacing w:before="80" w:after="80" w:line="276"/>
        <w:jc w:val="both"/>
      </w:pPr>
      <w:r>
        <w:rPr>
          <w:rFonts w:ascii="Marianne" w:cs="Marianne" w:eastAsia="Marianne" w:hAnsi="Marianne"/>
          <w:color w:val="3A3A3A"/>
          <w:sz w:val="21"/>
          <w:szCs w:val="21"/>
        </w:rPr>
        <w:t xml:space="preserve">C’est cette facilité de réalisation qui est le véritable changement de paradigme. On ne parle pas de remplacer des prestataires ou des équipes internes : on parle de faire exister des outils qui, sans cette méthode, seraient restés à l’état d’idées dans un coin de tête — ou au mieux, de lignes dans un schéma directeur que personne n’aurait financé.</w:t>
      </w:r>
    </w:p>
    <w:p>
      <w:r>
        <w:br w:type="page"/>
      </w:r>
    </w:p>
    <w:p>
      <w:pPr>
        <w:pStyle w:val="Heading1"/>
        <w:spacing w:before="360" w:after="200"/>
      </w:pPr>
      <w:r>
        <w:rPr>
          <w:rFonts w:ascii="Marianne" w:cs="Marianne" w:eastAsia="Marianne" w:hAnsi="Marianne"/>
          <w:b/>
          <w:bCs/>
          <w:color w:val="000091"/>
          <w:sz w:val="32"/>
          <w:szCs w:val="32"/>
        </w:rPr>
        <w:t xml:space="preserve">6. Proposition : un Lab Vibe Coding pour le ministère</w:t>
      </w:r>
    </w:p>
    <w:p>
      <w:pPr>
        <w:spacing w:before="80" w:after="80" w:line="276"/>
        <w:jc w:val="both"/>
      </w:pPr>
      <w:r>
        <w:rPr>
          <w:rFonts w:ascii="Marianne" w:cs="Marianne" w:eastAsia="Marianne" w:hAnsi="Marianne"/>
          <w:color w:val="3A3A3A"/>
          <w:sz w:val="21"/>
          <w:szCs w:val="21"/>
        </w:rPr>
        <w:t xml:space="preserve">Pour pérenniser ces acquis et démultiplier leur impact, nous proposons la création d’une mission dédiée « Lab Vibe Coding ».</w:t>
      </w:r>
    </w:p>
    <w:p>
      <w:pPr>
        <w:spacing w:before="100" w:after="0"/>
      </w:pPr>
    </w:p>
    <w:p>
      <w:pPr>
        <w:pStyle w:val="Heading2"/>
        <w:spacing w:before="300" w:after="160"/>
      </w:pPr>
      <w:r>
        <w:rPr>
          <w:rFonts w:ascii="Marianne" w:cs="Marianne" w:eastAsia="Marianne" w:hAnsi="Marianne"/>
          <w:b/>
          <w:bCs/>
          <w:color w:val="000091"/>
          <w:sz w:val="26"/>
          <w:szCs w:val="26"/>
        </w:rPr>
        <w:t xml:space="preserve">Ce que le Lab pourrait faire pour la communication</w:t>
      </w:r>
    </w:p>
    <w:p>
      <w:pPr>
        <w:spacing w:before="80" w:after="80" w:line="276"/>
        <w:jc w:val="both"/>
      </w:pPr>
      <w:r>
        <w:rPr>
          <w:rFonts w:ascii="Marianne" w:cs="Marianne" w:eastAsia="Marianne" w:hAnsi="Marianne"/>
          <w:b/>
          <w:bCs/>
          <w:color w:val="3A3A3A"/>
          <w:sz w:val="21"/>
          <w:szCs w:val="21"/>
        </w:rPr>
        <w:t xml:space="preserve">Prototypage rapide </w:t>
      </w:r>
      <w:r>
        <w:rPr>
          <w:rFonts w:ascii="Marianne" w:cs="Marianne" w:eastAsia="Marianne" w:hAnsi="Marianne"/>
          <w:color w:val="3A3A3A"/>
          <w:sz w:val="21"/>
          <w:szCs w:val="21"/>
        </w:rPr>
        <w:t xml:space="preserve">— Un besoin de la com’ identifié le lundi peut être démontré en prototype le vendredi : outil de consultation, dashboard d’audience, simulateur citoyen, infographie interactive.</w:t>
      </w:r>
    </w:p>
    <w:p>
      <w:pPr>
        <w:spacing w:before="80" w:after="80" w:line="276"/>
        <w:jc w:val="both"/>
      </w:pPr>
      <w:r>
        <w:rPr>
          <w:rFonts w:ascii="Marianne" w:cs="Marianne" w:eastAsia="Marianne" w:hAnsi="Marianne"/>
          <w:b/>
          <w:bCs/>
          <w:color w:val="3A3A3A"/>
          <w:sz w:val="21"/>
          <w:szCs w:val="21"/>
        </w:rPr>
        <w:t xml:space="preserve">Outils de pilotage </w:t>
      </w:r>
      <w:r>
        <w:rPr>
          <w:rFonts w:ascii="Marianne" w:cs="Marianne" w:eastAsia="Marianne" w:hAnsi="Marianne"/>
          <w:color w:val="3A3A3A"/>
          <w:sz w:val="21"/>
          <w:szCs w:val="21"/>
        </w:rPr>
        <w:t xml:space="preserve">— Tableaux de bord, monitoring de l’écosystème web, suivi qualité des contenus, sans dépendance à un prestataire.</w:t>
      </w:r>
    </w:p>
    <w:p>
      <w:pPr>
        <w:spacing w:before="80" w:after="80" w:line="276"/>
        <w:jc w:val="both"/>
      </w:pPr>
      <w:r>
        <w:rPr>
          <w:rFonts w:ascii="Marianne" w:cs="Marianne" w:eastAsia="Marianne" w:hAnsi="Marianne"/>
          <w:b/>
          <w:bCs/>
          <w:color w:val="3A3A3A"/>
          <w:sz w:val="21"/>
          <w:szCs w:val="21"/>
        </w:rPr>
        <w:t xml:space="preserve">Contenus interactifs </w:t>
      </w:r>
      <w:r>
        <w:rPr>
          <w:rFonts w:ascii="Marianne" w:cs="Marianne" w:eastAsia="Marianne" w:hAnsi="Marianne"/>
          <w:color w:val="3A3A3A"/>
          <w:sz w:val="21"/>
          <w:szCs w:val="21"/>
        </w:rPr>
        <w:t xml:space="preserve">— Dataviz, comparateurs, cartes, organigrammes : des formats engageants qui valorisent le portail et les données du ministère.</w:t>
      </w:r>
    </w:p>
    <w:p>
      <w:pPr>
        <w:spacing w:before="80" w:after="80" w:line="276"/>
        <w:jc w:val="both"/>
      </w:pPr>
      <w:r>
        <w:rPr>
          <w:rFonts w:ascii="Marianne" w:cs="Marianne" w:eastAsia="Marianne" w:hAnsi="Marianne"/>
          <w:b/>
          <w:bCs/>
          <w:color w:val="3A3A3A"/>
          <w:sz w:val="21"/>
          <w:szCs w:val="21"/>
        </w:rPr>
        <w:t xml:space="preserve">Composants réutilisables </w:t>
      </w:r>
      <w:r>
        <w:rPr>
          <w:rFonts w:ascii="Marianne" w:cs="Marianne" w:eastAsia="Marianne" w:hAnsi="Marianne"/>
          <w:color w:val="3A3A3A"/>
          <w:sz w:val="21"/>
          <w:szCs w:val="21"/>
        </w:rPr>
        <w:t xml:space="preserve">— Bibliothèque DSFR (charts, thèmes, extensions) immédiatement déployable par toutes les équipes.</w:t>
      </w:r>
    </w:p>
    <w:p>
      <w:pPr>
        <w:spacing w:before="100" w:after="0"/>
      </w:pPr>
    </w:p>
    <w:p>
      <w:pPr>
        <w:pStyle w:val="Heading2"/>
        <w:spacing w:before="300" w:after="160"/>
      </w:pPr>
      <w:r>
        <w:rPr>
          <w:rFonts w:ascii="Marianne" w:cs="Marianne" w:eastAsia="Marianne" w:hAnsi="Marianne"/>
          <w:b/>
          <w:bCs/>
          <w:color w:val="000091"/>
          <w:sz w:val="26"/>
          <w:szCs w:val="26"/>
        </w:rPr>
        <w:t xml:space="preserve">Moyens envisagés</w:t>
      </w:r>
    </w:p>
    <w:p>
      <w:pPr>
        <w:spacing w:before="80" w:after="80" w:line="276"/>
        <w:jc w:val="both"/>
      </w:pPr>
      <w:r>
        <w:rPr>
          <w:rFonts w:ascii="Marianne" w:cs="Marianne" w:eastAsia="Marianne" w:hAnsi="Marianne"/>
          <w:color w:val="3A3A3A"/>
          <w:sz w:val="21"/>
          <w:szCs w:val="21"/>
        </w:rPr>
        <w:t xml:space="preserve">Une équipe légère de 2 à 3 personnes (profils tech/produit), équipée d’abonnements aux outils d’IA générative, avec accès aux API publiques et à une infrastructure de déploiement. Coût annuel estimé : 200 à 300 K€ tout compris — soit la moitié du coût de ce qui a déjà été produit en prestation équivalente.</w:t>
      </w:r>
    </w:p>
    <w:p>
      <w:pPr>
        <w:spacing w:before="100" w:after="0"/>
      </w:pPr>
    </w:p>
    <w:p>
      <w:pPr>
        <w:pStyle w:val="Heading2"/>
        <w:spacing w:before="300" w:after="160"/>
      </w:pPr>
      <w:r>
        <w:rPr>
          <w:rFonts w:ascii="Marianne" w:cs="Marianne" w:eastAsia="Marianne" w:hAnsi="Marianne"/>
          <w:b/>
          <w:bCs/>
          <w:color w:val="000091"/>
          <w:sz w:val="26"/>
          <w:szCs w:val="26"/>
        </w:rPr>
        <w:t xml:space="preserve">Indicateurs de succès</w:t>
      </w:r>
    </w:p>
    <w:p>
      <w:pPr>
        <w:spacing w:before="80" w:after="80" w:line="276"/>
        <w:jc w:val="both"/>
      </w:pPr>
      <w:r>
        <w:rPr>
          <w:rFonts w:ascii="Marianne" w:cs="Marianne" w:eastAsia="Marianne" w:hAnsi="Marianne"/>
          <w:color w:val="3A3A3A"/>
          <w:sz w:val="21"/>
          <w:szCs w:val="21"/>
        </w:rPr>
        <w:t xml:space="preserve">Nombre de prototypes livrés par trimestre, taux de passage en production, délai moyen idée-prototype, économies réalisées par rapport à la prestation, satisfaction des équipes communication et métier.</w:t>
      </w:r>
    </w:p>
    <w:p>
      <w:pPr>
        <w:pStyle w:val="Heading1"/>
        <w:spacing w:before="360" w:after="200"/>
      </w:pPr>
      <w:r>
        <w:rPr>
          <w:rFonts w:ascii="Marianne" w:cs="Marianne" w:eastAsia="Marianne" w:hAnsi="Marianne"/>
          <w:b/>
          <w:bCs/>
          <w:color w:val="000091"/>
          <w:sz w:val="32"/>
          <w:szCs w:val="32"/>
        </w:rPr>
        <w:t xml:space="preserve">7. Cadre de gouvernance et prochaines étapes</w:t>
      </w:r>
    </w:p>
    <w:p>
      <w:pPr>
        <w:spacing w:after="160" w:line="276"/>
      </w:pPr>
      <w:r>
        <w:rPr>
          <w:rFonts w:ascii="Marianne" w:cs="Marianne" w:eastAsia="Marianne" w:hAnsi="Marianne"/>
          <w:color w:val="3A3A3A"/>
          <w:sz w:val="21"/>
          <w:szCs w:val="21"/>
        </w:rPr>
        <w:t xml:space="preserve">Le Vibe Lab s’est doté d’un cadre de gouvernance formalisé qui accompagne la proposition de structuration : une fiche de gouvernance (cycle de vie des projets en 6 phases, comité mensuel de priorisation, revue trimestrielle), une grille d’évaluation objective (6 critères d’entrée, scoring sur 50 points), et une matrice des risques (8 risques identifiés, 0 résiduel critique). L’articulation avec BercyHub est formalisée : le Lab joue un rôle d’éclaireur sur données publiques, BercyHub industrialise sur données sensibles si nécessaire. Un point trimestriel structuré entre les deux équipes est prévu.</w:t>
      </w:r>
    </w:p>
    <w:p>
      <w:pPr>
        <w:spacing w:after="160" w:line="276"/>
      </w:pPr>
      <w:r>
        <w:rPr>
          <w:rFonts w:ascii="Marianne" w:cs="Marianne" w:eastAsia="Marianne" w:hAnsi="Marianne"/>
          <w:color w:val="3A3A3A"/>
          <w:sz w:val="21"/>
          <w:szCs w:val="21"/>
        </w:rPr>
        <w:t xml:space="preserve">Le premier projet du backlog élargi est ExcelExit : la migration systématique des fichiers Excel critiques du ministère vers Grist (grist.numerique.gouv.fr), avec des interfaces DSFR générées par le Lab. Score de 47/50 — le plus élevé de tous les projets évalués. ExcelExit peut devenir un outil de communication puissant : chaque direction qui voit son Excel critique transformé en mini-app web collaborative devient ambassadrice du Lab. Un plan de communication en 12 semaines a été conçu pour structurer cette montée en visibilité.</w:t>
      </w:r>
    </w:p>
    <w:p>
      <w:pPr>
        <w:pStyle w:val="Heading1"/>
        <w:spacing w:before="360" w:after="200"/>
      </w:pPr>
      <w:r>
        <w:rPr>
          <w:rFonts w:ascii="Marianne" w:cs="Marianne" w:eastAsia="Marianne" w:hAnsi="Marianne"/>
          <w:b/>
          <w:bCs/>
          <w:color w:val="000091"/>
          <w:sz w:val="32"/>
          <w:szCs w:val="32"/>
        </w:rPr>
        <w:t xml:space="preserve">8. En résumé</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8 outils numériques fonctionnels, tous orientés communication et visibilité.</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Un coût de revient 8 fois inférieur à la prestation classique.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Un accélérateur pour répondre aux besoins de la communication ministérielle à la vitesse où ils se présentent.</w:t>
            </w:r>
          </w:p>
        </w:tc>
      </w:tr>
    </w:tbl>
    <w:p>
      <w:pPr>
        <w:spacing w:before="100" w:after="0"/>
      </w:pPr>
    </w:p>
    <w:p>
      <w:pPr>
        <w:spacing w:before="80" w:after="80" w:line="276"/>
        <w:jc w:val="both"/>
      </w:pPr>
      <w:r>
        <w:rPr>
          <w:rFonts w:ascii="Marianne" w:cs="Marianne" w:eastAsia="Marianne" w:hAnsi="Marianne"/>
          <w:color w:val="3A3A3A"/>
          <w:sz w:val="21"/>
          <w:szCs w:val="21"/>
        </w:rPr>
        <w:t xml:space="preserve">Le vibe coding n’est pas une mode technologique. C’est un multiplicateur de capacités qui permet à un agent public qui connaît les métiers du ministère de produire, en quelques jours, des outils que les circuits classiques mettraient des mois à livrer.</w:t>
      </w:r>
    </w:p>
    <w:p>
      <w:pPr>
        <w:spacing w:before="80" w:after="80" w:line="276"/>
        <w:jc w:val="both"/>
      </w:pPr>
      <w:r>
        <w:rPr>
          <w:rFonts w:ascii="Marianne" w:cs="Marianne" w:eastAsia="Marianne" w:hAnsi="Marianne"/>
          <w:color w:val="3A3A3A"/>
          <w:sz w:val="21"/>
          <w:szCs w:val="21"/>
        </w:rPr>
        <w:t xml:space="preserve">La Direction de la Communication est la première bénéficiaire de cette capacité : gouvernance des sites, connaissance fine du portail, cohérence de marque, contenus interactifs, valorisation des données publiques. Soutenir la création du Lab Vibe Coding, c’est investir dans un outil au service direct de la stratégie de communication du ministère.</w:t>
      </w:r>
    </w:p>
    <w:p>
      <w:r>
        <w:br w:type="page"/>
      </w:r>
    </w:p>
    <w:p>
      <w:pPr>
        <w:pStyle w:val="Heading1"/>
        <w:spacing w:before="360" w:after="200"/>
      </w:pPr>
      <w:r>
        <w:rPr>
          <w:rFonts w:ascii="Marianne" w:cs="Marianne" w:eastAsia="Marianne" w:hAnsi="Marianne"/>
          <w:b/>
          <w:bCs/>
          <w:color w:val="000091"/>
          <w:sz w:val="32"/>
          <w:szCs w:val="32"/>
        </w:rPr>
        <w:t xml:space="preserve">Annexe — Dépôts GitHub</w:t>
      </w:r>
    </w:p>
    <w:p>
      <w:pPr>
        <w:spacing w:before="80" w:after="80" w:line="276"/>
        <w:jc w:val="both"/>
      </w:pPr>
      <w:r>
        <w:rPr>
          <w:rFonts w:ascii="Marianne" w:cs="Marianne" w:eastAsia="Marianne" w:hAnsi="Marianne"/>
          <w:color w:val="3A3A3A"/>
          <w:sz w:val="21"/>
          <w:szCs w:val="21"/>
        </w:rPr>
        <w:t xml:space="preserve">Écosystème (G3) : https://github.com/bmatge/g3</w:t>
      </w:r>
    </w:p>
    <w:p>
      <w:pPr>
        <w:spacing w:before="80" w:after="80" w:line="276"/>
        <w:jc w:val="both"/>
      </w:pPr>
      <w:r>
        <w:rPr>
          <w:rFonts w:ascii="Marianne" w:cs="Marianne" w:eastAsia="Marianne" w:hAnsi="Marianne"/>
          <w:color w:val="3A3A3A"/>
          <w:sz w:val="21"/>
          <w:szCs w:val="21"/>
        </w:rPr>
        <w:t xml:space="preserve">Portail Eco Browser : https://github.com/bmatge/portail-eco-browser</w:t>
      </w:r>
    </w:p>
    <w:p>
      <w:pPr>
        <w:spacing w:before="80" w:after="80" w:line="276"/>
        <w:jc w:val="both"/>
      </w:pPr>
      <w:r>
        <w:rPr>
          <w:rFonts w:ascii="Marianne" w:cs="Marianne" w:eastAsia="Marianne" w:hAnsi="Marianne"/>
          <w:color w:val="3A3A3A"/>
          <w:sz w:val="21"/>
          <w:szCs w:val="21"/>
        </w:rPr>
        <w:t xml:space="preserve">ChartsBuilder : https://github.com/bmatge/datasource-charts-webcomponents</w:t>
      </w:r>
    </w:p>
    <w:p>
      <w:pPr>
        <w:spacing w:before="80" w:after="80" w:line="276"/>
        <w:jc w:val="both"/>
      </w:pPr>
      <w:r>
        <w:rPr>
          <w:rFonts w:ascii="Marianne" w:cs="Marianne" w:eastAsia="Marianne" w:hAnsi="Marianne"/>
          <w:color w:val="3A3A3A"/>
          <w:sz w:val="21"/>
          <w:szCs w:val="21"/>
        </w:rPr>
        <w:t xml:space="preserve">LimeSurvey DSFR : https://github.com/bmatge/LimeSurvey-DSFR</w:t>
      </w:r>
    </w:p>
    <w:p>
      <w:pPr>
        <w:spacing w:before="80" w:after="80" w:line="276"/>
        <w:jc w:val="both"/>
      </w:pPr>
      <w:r>
        <w:rPr>
          <w:rFonts w:ascii="Marianne" w:cs="Marianne" w:eastAsia="Marianne" w:hAnsi="Marianne"/>
          <w:color w:val="3A3A3A"/>
          <w:sz w:val="21"/>
          <w:szCs w:val="21"/>
        </w:rPr>
        <w:t xml:space="preserve">Organigrammes : https://github.com/bmatge/org-chart-service-public</w:t>
      </w:r>
    </w:p>
    <w:p>
      <w:pPr>
        <w:spacing w:before="80" w:after="80" w:line="276"/>
        <w:jc w:val="both"/>
      </w:pPr>
      <w:r>
        <w:rPr>
          <w:rFonts w:ascii="Marianne" w:cs="Marianne" w:eastAsia="Marianne" w:hAnsi="Marianne"/>
          <w:color w:val="3A3A3A"/>
          <w:sz w:val="21"/>
          <w:szCs w:val="21"/>
        </w:rPr>
        <w:t xml:space="preserve">Prix Contrôle Technique : https://github.com/bmatge/prix-controle-technique</w:t>
      </w:r>
    </w:p>
    <w:p>
      <w:pPr>
        <w:spacing w:before="80" w:after="80" w:line="276"/>
        <w:jc w:val="both"/>
      </w:pPr>
      <w:r>
        <w:rPr>
          <w:rFonts w:ascii="Marianne" w:cs="Marianne" w:eastAsia="Marianne" w:hAnsi="Marianne"/>
          <w:color w:val="3A3A3A"/>
          <w:sz w:val="21"/>
          <w:szCs w:val="21"/>
        </w:rPr>
        <w:t xml:space="preserve">Tarifs Bancaires : https://github.com/bmatge/tarifs-bancaires</w:t>
      </w:r>
    </w:p>
    <w:p>
      <w:pPr>
        <w:spacing w:before="80" w:after="80" w:line="276"/>
        <w:jc w:val="both"/>
      </w:pPr>
      <w:r>
        <w:rPr>
          <w:rFonts w:ascii="Marianne" w:cs="Marianne" w:eastAsia="Marianne" w:hAnsi="Marianne"/>
          <w:color w:val="3A3A3A"/>
          <w:sz w:val="21"/>
          <w:szCs w:val="21"/>
        </w:rPr>
        <w:t xml:space="preserve">LeFouineur : https://github.com/bmatge/eco-alert-bo</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MIWEB — SNUM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Rapport d’opportunité — Vibe Coding &amp; Communication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6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2026-02-21T01:04:06.746Z</dcterms:created>
  <dcterms:modified xsi:type="dcterms:W3CDTF">2026-02-21T01:04:06.747Z</dcterms:modified>
</cp:coreProperties>
</file>

<file path=docProps/custom.xml><?xml version="1.0" encoding="utf-8"?>
<Properties xmlns="http://schemas.openxmlformats.org/officeDocument/2006/custom-properties" xmlns:vt="http://schemas.openxmlformats.org/officeDocument/2006/docPropsVTypes"/>
</file>