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5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none"/>
              <w:bottom w:val="none"/>
              <w:right w:val="none"/>
            </w:tcBorders>
            <w:shd w:fill="000091" w:val="clear"/>
            <w:tcMar>
              <w:top w:type="dxa" w:w="400"/>
              <w:left w:type="dxa" w:w="400"/>
              <w:bottom w:type="dxa" w:w="400"/>
              <w:right w:type="dxa" w:w="400"/>
            </w:tcMar>
          </w:tcPr>
          <w:p>
            <w:pPr>
              <w:spacing w:after="120"/>
            </w:pPr>
            <w:r>
              <w:rPr>
                <w:rFonts w:ascii="Marianne" w:cs="Marianne" w:eastAsia="Marianne" w:hAnsi="Marianne"/>
                <w:caps/>
                <w:color w:val="FFFFFF"/>
                <w:spacing w:val="200"/>
                <w:sz w:val="20"/>
                <w:szCs w:val="20"/>
              </w:rPr>
              <w:t xml:space="preserve">NOTE D’OPPORTUNITÉ</w:t>
            </w:r>
          </w:p>
          <w:p>
            <w:pPr>
              <w:spacing w:after="100"/>
            </w:pPr>
            <w:r>
              <w:rPr>
                <w:rFonts w:ascii="Marianne" w:cs="Marianne" w:eastAsia="Marianne" w:hAnsi="Marianne"/>
                <w:b/>
                <w:bCs/>
                <w:color w:val="FFFFFF"/>
                <w:sz w:val="40"/>
                <w:szCs w:val="40"/>
              </w:rPr>
              <w:t xml:space="preserve">Le Vibe Lab au service
du secrétariat général</w:t>
            </w:r>
          </w:p>
          <w:p>
            <w:pPr>
              <w:spacing w:after="80"/>
            </w:pPr>
            <w:r>
              <w:rPr>
                <w:rFonts w:ascii="Marianne" w:cs="Marianne" w:eastAsia="Marianne" w:hAnsi="Marianne"/>
                <w:color w:val="E3E3FD"/>
                <w:sz w:val="22"/>
                <w:szCs w:val="22"/>
              </w:rPr>
              <w:t xml:space="preserve">Prototypage IA pour les fonctions support :
RH, finances, immobilier, pilotage, coordination</w:t>
            </w:r>
          </w:p>
        </w:tc>
      </w:tr>
    </w:tbl>
    <w:p>
      <w:pPr>
        <w:spacing w:before="400" w:after="0"/>
      </w:pPr>
    </w:p>
    <w:p>
      <w:pPr>
        <w:spacing w:after="60"/>
      </w:pPr>
      <w:r>
        <w:rPr>
          <w:rFonts w:ascii="Marianne" w:cs="Marianne" w:eastAsia="Marianne" w:hAnsi="Marianne"/>
          <w:b/>
          <w:bCs/>
          <w:color w:val="3A3A3A"/>
          <w:sz w:val="24"/>
          <w:szCs w:val="24"/>
        </w:rPr>
        <w:t xml:space="preserve">Bertrand Matgé</w:t>
      </w:r>
    </w:p>
    <w:p>
      <w:pPr>
        <w:spacing w:after="60"/>
      </w:pPr>
      <w:r>
        <w:rPr>
          <w:rFonts w:ascii="Marianne" w:cs="Marianne" w:eastAsia="Marianne" w:hAnsi="Marianne"/>
          <w:color w:val="666666"/>
          <w:sz w:val="21"/>
          <w:szCs w:val="21"/>
        </w:rPr>
        <w:t xml:space="preserve">MIWEB — Mission Ingénierie du Web — SNUM</w:t>
      </w:r>
    </w:p>
    <w:p>
      <w:pPr>
        <w:spacing w:after="200"/>
      </w:pPr>
      <w:r>
        <w:rPr>
          <w:rFonts w:ascii="Marianne" w:cs="Marianne" w:eastAsia="Marianne" w:hAnsi="Marianne"/>
          <w:color w:val="666666"/>
          <w:sz w:val="21"/>
          <w:szCs w:val="21"/>
        </w:rPr>
        <w:t xml:space="preserve">Février 2026</w:t>
      </w:r>
    </w:p>
    <w:p>
      <w:pPr>
        <w:spacing w:before="2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000091" w:sz="12"/>
              <w:bottom w:val="none"/>
              <w:right w:val="none"/>
            </w:tcBorders>
            <w:shd w:fill="E3E3FD" w:val="clear"/>
            <w:tcMar>
              <w:top w:type="dxa" w:w="160"/>
              <w:left w:type="dxa" w:w="240"/>
              <w:bottom w:type="dxa" w:w="160"/>
              <w:right w:type="dxa" w:w="240"/>
            </w:tcMar>
          </w:tcPr>
          <w:p>
            <w:pPr>
              <w:spacing w:before="40" w:after="40" w:line="276"/>
            </w:pPr>
            <w:r>
              <w:rPr>
                <w:rFonts w:ascii="Marianne" w:cs="Marianne" w:eastAsia="Marianne" w:hAnsi="Marianne"/>
                <w:b/>
                <w:bCs/>
                <w:color w:val="3A3A3A"/>
                <w:sz w:val="21"/>
                <w:szCs w:val="21"/>
              </w:rPr>
              <w:t xml:space="preserve">Le Vibe Lab a démontré sa valeur sur le périmètre de la communication : 8 outils en 6 mois, 663 K€ d’équivalent prestation, 88 % d’économie.</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b/>
                <w:bCs/>
                <w:color w:val="3A3A3A"/>
                <w:sz w:val="21"/>
                <w:szCs w:val="21"/>
              </w:rPr>
              <w:t xml:space="preserve">Cette note explore les cas d’usage pour les autres fonctions du secrétariat général — RH, finances, immobilier, DSI, coordination — en restant strictement dans le périmètre du Vibe Lab : données publiques ou agrégées, aucun SI sensible, complémentarité totale avec BercyHub.</w:t>
            </w:r>
          </w:p>
        </w:tc>
      </w:tr>
    </w:tbl>
    <w:p>
      <w:pPr>
        <w:sectPr>
          <w:pgSz w:w="11906" w:h="16838" w:orient="portrait"/>
          <w:pgMar w:top="1440" w:right="1440" w:bottom="1440" w:left="1440" w:header="708" w:footer="708" w:gutter="0"/>
          <w:pgNumType/>
          <w:docGrid w:linePitch="360"/>
        </w:sectPr>
      </w:pPr>
    </w:p>
    <w:p>
      <w:pPr>
        <w:pStyle w:val="Heading1"/>
        <w:spacing w:before="400" w:after="200"/>
      </w:pPr>
      <w:r>
        <w:rPr>
          <w:rFonts w:ascii="Marianne" w:cs="Marianne" w:eastAsia="Marianne" w:hAnsi="Marianne"/>
          <w:b/>
          <w:bCs/>
          <w:color w:val="000091"/>
          <w:sz w:val="32"/>
          <w:szCs w:val="32"/>
        </w:rPr>
        <w:t xml:space="preserve">1. Contexte : un modèle validé, un potentiel à élargir</w:t>
      </w:r>
    </w:p>
    <w:p>
      <w:pPr>
        <w:spacing w:before="80" w:after="80" w:line="276"/>
        <w:jc w:val="both"/>
      </w:pPr>
      <w:r>
        <w:rPr>
          <w:rFonts w:ascii="Marianne" w:cs="Marianne" w:eastAsia="Marianne" w:hAnsi="Marianne"/>
          <w:color w:val="3A3A3A"/>
          <w:sz w:val="21"/>
          <w:szCs w:val="21"/>
        </w:rPr>
        <w:t xml:space="preserve">Le Vibe Lab — laboratoire de prototypage assisté par IA générative — a produit en 6 mois, avec un seul agent, 8 outils numériques fonctionnels pour le périmètre de la communication ministérielle. Les résultats sont documentés dans les notes parallèles adressées au chef du service du numérique et à la direction de la communication.</w:t>
      </w:r>
    </w:p>
    <w:p>
      <w:pPr>
        <w:spacing w:before="8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08"/>
        <w:gridCol w:w="3008"/>
        <w:gridCol w:w="3008"/>
      </w:tblGrid>
      <w:tr>
        <w:tc>
          <w:tcPr>
            <w:tcW w:type="dxa" w:w="3008"/>
            <w:tcBorders>
              <w:top w:val="none"/>
              <w:left w:val="none"/>
              <w:bottom w:val="none"/>
              <w:right w:val="none"/>
            </w:tcBorders>
            <w:shd w:fill="F6F6F6" w:val="clear"/>
            <w:tcMar>
              <w:top w:type="dxa" w:w="160"/>
              <w:left w:type="dxa" w:w="140"/>
              <w:bottom w:type="dxa" w:w="160"/>
              <w:right w:type="dxa" w:w="140"/>
            </w:tcMar>
          </w:tcPr>
          <w:p>
            <w:pPr>
              <w:spacing w:after="40"/>
              <w:jc w:val="center"/>
            </w:pPr>
            <w:r>
              <w:rPr>
                <w:rFonts w:ascii="Marianne" w:cs="Marianne" w:eastAsia="Marianne" w:hAnsi="Marianne"/>
                <w:b/>
                <w:bCs/>
                <w:color w:val="000091"/>
                <w:sz w:val="36"/>
                <w:szCs w:val="36"/>
              </w:rPr>
              <w:t xml:space="preserve">8</w:t>
            </w:r>
          </w:p>
          <w:p>
            <w:pPr>
              <w:spacing w:after="20"/>
              <w:jc w:val="center"/>
            </w:pPr>
            <w:r>
              <w:rPr>
                <w:rFonts w:ascii="Marianne" w:cs="Marianne" w:eastAsia="Marianne" w:hAnsi="Marianne"/>
                <w:b/>
                <w:bCs/>
                <w:color w:val="3A3A3A"/>
                <w:sz w:val="20"/>
                <w:szCs w:val="20"/>
              </w:rPr>
              <w:t xml:space="preserve">outils produits</w:t>
            </w:r>
          </w:p>
          <w:p>
            <w:pPr>
              <w:jc w:val="center"/>
            </w:pPr>
            <w:r>
              <w:rPr>
                <w:rFonts w:ascii="Marianne" w:cs="Marianne" w:eastAsia="Marianne" w:hAnsi="Marianne"/>
                <w:i/>
                <w:iCs/>
                <w:color w:val="666666"/>
                <w:sz w:val="17"/>
                <w:szCs w:val="17"/>
              </w:rPr>
              <w:t xml:space="preserve">en 6 mois, par 1 agent</w:t>
            </w:r>
          </w:p>
        </w:tc>
        <w:tc>
          <w:tcPr>
            <w:tcW w:type="dxa" w:w="3008"/>
            <w:tcBorders>
              <w:top w:val="none"/>
              <w:left w:val="none"/>
              <w:bottom w:val="none"/>
              <w:right w:val="none"/>
            </w:tcBorders>
            <w:shd w:fill="F6F6F6" w:val="clear"/>
            <w:tcMar>
              <w:top w:type="dxa" w:w="160"/>
              <w:left w:type="dxa" w:w="140"/>
              <w:bottom w:type="dxa" w:w="160"/>
              <w:right w:type="dxa" w:w="140"/>
            </w:tcMar>
          </w:tcPr>
          <w:p>
            <w:pPr>
              <w:spacing w:after="40"/>
              <w:jc w:val="center"/>
            </w:pPr>
            <w:r>
              <w:rPr>
                <w:rFonts w:ascii="Marianne" w:cs="Marianne" w:eastAsia="Marianne" w:hAnsi="Marianne"/>
                <w:b/>
                <w:bCs/>
                <w:color w:val="000091"/>
                <w:sz w:val="36"/>
                <w:szCs w:val="36"/>
              </w:rPr>
              <w:t xml:space="preserve">663 K€</w:t>
            </w:r>
          </w:p>
          <w:p>
            <w:pPr>
              <w:spacing w:after="20"/>
              <w:jc w:val="center"/>
            </w:pPr>
            <w:r>
              <w:rPr>
                <w:rFonts w:ascii="Marianne" w:cs="Marianne" w:eastAsia="Marianne" w:hAnsi="Marianne"/>
                <w:b/>
                <w:bCs/>
                <w:color w:val="3A3A3A"/>
                <w:sz w:val="20"/>
                <w:szCs w:val="20"/>
              </w:rPr>
              <w:t xml:space="preserve">coût presta. équivalent</w:t>
            </w:r>
          </w:p>
          <w:p>
            <w:pPr>
              <w:jc w:val="center"/>
            </w:pPr>
            <w:r>
              <w:rPr>
                <w:rFonts w:ascii="Marianne" w:cs="Marianne" w:eastAsia="Marianne" w:hAnsi="Marianne"/>
                <w:i/>
                <w:iCs/>
                <w:color w:val="666666"/>
                <w:sz w:val="17"/>
                <w:szCs w:val="17"/>
              </w:rPr>
              <w:t xml:space="preserve">1 105 jours-homme</w:t>
            </w:r>
          </w:p>
        </w:tc>
        <w:tc>
          <w:tcPr>
            <w:tcW w:type="dxa" w:w="3008"/>
            <w:tcBorders>
              <w:top w:val="none"/>
              <w:left w:val="none"/>
              <w:bottom w:val="none"/>
              <w:right w:val="none"/>
            </w:tcBorders>
            <w:shd w:fill="F6F6F6" w:val="clear"/>
            <w:tcMar>
              <w:top w:type="dxa" w:w="160"/>
              <w:left w:type="dxa" w:w="140"/>
              <w:bottom w:type="dxa" w:w="160"/>
              <w:right w:type="dxa" w:w="140"/>
            </w:tcMar>
          </w:tcPr>
          <w:p>
            <w:pPr>
              <w:spacing w:after="40"/>
              <w:jc w:val="center"/>
            </w:pPr>
            <w:r>
              <w:rPr>
                <w:rFonts w:ascii="Marianne" w:cs="Marianne" w:eastAsia="Marianne" w:hAnsi="Marianne"/>
                <w:b/>
                <w:bCs/>
                <w:color w:val="000091"/>
                <w:sz w:val="36"/>
                <w:szCs w:val="36"/>
              </w:rPr>
              <w:t xml:space="preserve">88 %</w:t>
            </w:r>
          </w:p>
          <w:p>
            <w:pPr>
              <w:spacing w:after="20"/>
              <w:jc w:val="center"/>
            </w:pPr>
            <w:r>
              <w:rPr>
                <w:rFonts w:ascii="Marianne" w:cs="Marianne" w:eastAsia="Marianne" w:hAnsi="Marianne"/>
                <w:b/>
                <w:bCs/>
                <w:color w:val="3A3A3A"/>
                <w:sz w:val="20"/>
                <w:szCs w:val="20"/>
              </w:rPr>
              <w:t xml:space="preserve">d’économie</w:t>
            </w:r>
          </w:p>
          <w:p>
            <w:pPr>
              <w:jc w:val="center"/>
            </w:pPr>
            <w:r>
              <w:rPr>
                <w:rFonts w:ascii="Marianne" w:cs="Marianne" w:eastAsia="Marianne" w:hAnsi="Marianne"/>
                <w:i/>
                <w:iCs/>
                <w:color w:val="666666"/>
                <w:sz w:val="17"/>
                <w:szCs w:val="17"/>
              </w:rPr>
              <w:t xml:space="preserve">vs. prestation classique</w:t>
            </w:r>
          </w:p>
        </w:tc>
      </w:tr>
    </w:tbl>
    <w:p>
      <w:pPr>
        <w:spacing w:before="160" w:after="0"/>
      </w:pPr>
    </w:p>
    <w:p>
      <w:pPr>
        <w:spacing w:before="80" w:after="80" w:line="276"/>
        <w:jc w:val="both"/>
      </w:pPr>
      <w:r>
        <w:rPr>
          <w:rFonts w:ascii="Marianne" w:cs="Marianne" w:eastAsia="Marianne" w:hAnsi="Marianne"/>
          <w:b/>
          <w:bCs/>
          <w:color w:val="3A3A3A"/>
          <w:sz w:val="21"/>
          <w:szCs w:val="21"/>
        </w:rPr>
        <w:t xml:space="preserve">Ces résultats soulèvent une question naturelle : </w:t>
      </w:r>
      <w:r>
        <w:rPr>
          <w:rFonts w:ascii="Marianne" w:cs="Marianne" w:eastAsia="Marianne" w:hAnsi="Marianne"/>
          <w:color w:val="3A3A3A"/>
          <w:sz w:val="21"/>
          <w:szCs w:val="21"/>
        </w:rPr>
        <w:t xml:space="preserve">si le vibe coding est aussi efficace pour produire des outils de gouvernance web, d’intelligence éditoriale et de dataviz, que pourrait-il apporter aux autres fonctions du secrétariat général ?</w:t>
      </w:r>
    </w:p>
    <w:p>
      <w:pPr>
        <w:spacing w:before="80" w:after="80" w:line="276"/>
        <w:jc w:val="both"/>
      </w:pPr>
      <w:r>
        <w:rPr>
          <w:rFonts w:ascii="Marianne" w:cs="Marianne" w:eastAsia="Marianne" w:hAnsi="Marianne"/>
          <w:color w:val="3A3A3A"/>
          <w:sz w:val="21"/>
          <w:szCs w:val="21"/>
        </w:rPr>
        <w:t xml:space="preserve">La réponse est : beaucoup — à condition de rester dans le périmètre qui fait la force du Vibe Lab. C’est l’objet de cette note.</w:t>
      </w:r>
    </w:p>
    <w:p>
      <w:pPr>
        <w:pStyle w:val="Heading1"/>
        <w:spacing w:before="400" w:after="200"/>
      </w:pPr>
      <w:r>
        <w:rPr>
          <w:rFonts w:ascii="Marianne" w:cs="Marianne" w:eastAsia="Marianne" w:hAnsi="Marianne"/>
          <w:b/>
          <w:bCs/>
          <w:color w:val="000091"/>
          <w:sz w:val="32"/>
          <w:szCs w:val="32"/>
        </w:rPr>
        <w:t xml:space="preserve">2. Vibe Lab et BercyHub : deux approches complémentaires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B34000" w:sz="12"/>
              <w:bottom w:val="none"/>
              <w:right w:val="none"/>
            </w:tcBorders>
            <w:shd w:fill="FFF0E6" w:val="clear"/>
            <w:tcMar>
              <w:top w:type="dxa" w:w="160"/>
              <w:left w:type="dxa" w:w="240"/>
              <w:bottom w:type="dxa" w:w="160"/>
              <w:right w:type="dxa" w:w="240"/>
            </w:tcMar>
          </w:tcPr>
          <w:p>
            <w:pPr>
              <w:spacing w:before="40" w:after="40" w:line="276"/>
            </w:pPr>
            <w:r>
              <w:rPr>
                <w:rFonts w:ascii="Marianne" w:cs="Marianne" w:eastAsia="Marianne" w:hAnsi="Marianne"/>
                <w:b/>
                <w:bCs/>
                <w:color w:val="B34000"/>
                <w:sz w:val="21"/>
                <w:szCs w:val="21"/>
              </w:rPr>
              <w:t xml:space="preserve">Le positionnement du Vibe Lab par rapport à BercyHub n’est pas une question d’ambition, mais de périmètre. Les deux structures répondent à des besoins différents avec des méthodes différentes. Elles ne se chevauchent pas — elles se complètent.</w:t>
            </w:r>
          </w:p>
        </w:tc>
      </w:tr>
    </w:tbl>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513"/>
        <w:gridCol w:w="4513"/>
      </w:tblGrid>
      <w:tr>
        <w:tc>
          <w:tcPr>
            <w:tcW w:type="dxa" w:w="4513"/>
            <w:tcBorders>
              <w:top w:val="single" w:color="B34000" w:sz="4"/>
              <w:left w:val="single" w:color="DDDDDD" w:sz="1"/>
              <w:bottom w:val="single" w:color="DDDDDD" w:sz="1"/>
              <w:right w:val="single" w:color="EEEEEE" w:sz="1"/>
            </w:tcBorders>
            <w:shd w:fill="FFFFFF" w:val="clear"/>
            <w:tcMar>
              <w:top w:type="dxa" w:w="140"/>
              <w:left w:type="dxa" w:w="200"/>
              <w:bottom w:type="dxa" w:w="140"/>
              <w:right w:type="dxa" w:w="160"/>
            </w:tcMar>
          </w:tcPr>
          <w:p>
            <w:pPr>
              <w:spacing w:after="80"/>
            </w:pPr>
            <w:r>
              <w:rPr>
                <w:rFonts w:ascii="Marianne" w:cs="Marianne" w:eastAsia="Marianne" w:hAnsi="Marianne"/>
                <w:b/>
                <w:bCs/>
                <w:color w:val="B34000"/>
                <w:sz w:val="22"/>
                <w:szCs w:val="22"/>
              </w:rPr>
              <w:t xml:space="preserve">BercyHub</w:t>
            </w:r>
          </w:p>
          <w:p>
            <w:pPr>
              <w:spacing w:before="50" w:after="50" w:line="260"/>
            </w:pPr>
            <w:r>
              <w:rPr>
                <w:rFonts w:ascii="Marianne" w:cs="Marianne" w:eastAsia="Marianne" w:hAnsi="Marianne"/>
                <w:color w:val="3A3A3A"/>
                <w:sz w:val="19"/>
                <w:szCs w:val="19"/>
              </w:rPr>
              <w:t xml:space="preserve">→ IA souveraine (modèles hébergés en interne)</w:t>
            </w:r>
          </w:p>
          <w:p>
            <w:pPr>
              <w:spacing w:before="50" w:after="50" w:line="260"/>
            </w:pPr>
            <w:r>
              <w:rPr>
                <w:rFonts w:ascii="Marianne" w:cs="Marianne" w:eastAsia="Marianne" w:hAnsi="Marianne"/>
                <w:color w:val="3A3A3A"/>
                <w:sz w:val="19"/>
                <w:szCs w:val="19"/>
              </w:rPr>
              <w:t xml:space="preserve">→ Données sensibles et confidentielles</w:t>
            </w:r>
          </w:p>
          <w:p>
            <w:pPr>
              <w:spacing w:before="50" w:after="50" w:line="260"/>
            </w:pPr>
            <w:r>
              <w:rPr>
                <w:rFonts w:ascii="Marianne" w:cs="Marianne" w:eastAsia="Marianne" w:hAnsi="Marianne"/>
                <w:color w:val="3A3A3A"/>
                <w:sz w:val="19"/>
                <w:szCs w:val="19"/>
              </w:rPr>
              <w:t xml:space="preserve">→ Systèmes d’information métier</w:t>
            </w:r>
          </w:p>
          <w:p>
            <w:pPr>
              <w:spacing w:before="50" w:after="50" w:line="260"/>
            </w:pPr>
            <w:r>
              <w:rPr>
                <w:rFonts w:ascii="Marianne" w:cs="Marianne" w:eastAsia="Marianne" w:hAnsi="Marianne"/>
                <w:color w:val="3A3A3A"/>
                <w:sz w:val="19"/>
                <w:szCs w:val="19"/>
              </w:rPr>
              <w:t xml:space="preserve">→ Homologation de sécurité requise</w:t>
            </w:r>
          </w:p>
          <w:p>
            <w:pPr>
              <w:spacing w:before="50" w:after="50" w:line="260"/>
            </w:pPr>
            <w:r>
              <w:rPr>
                <w:rFonts w:ascii="Marianne" w:cs="Marianne" w:eastAsia="Marianne" w:hAnsi="Marianne"/>
                <w:color w:val="3A3A3A"/>
                <w:sz w:val="19"/>
                <w:szCs w:val="19"/>
              </w:rPr>
              <w:t xml:space="preserve">→ Projets structurants à moyen/long terme</w:t>
            </w:r>
          </w:p>
          <w:p>
            <w:pPr>
              <w:spacing w:before="50" w:after="50" w:line="260"/>
            </w:pPr>
            <w:r>
              <w:rPr>
                <w:rFonts w:ascii="Marianne" w:cs="Marianne" w:eastAsia="Marianne" w:hAnsi="Marianne"/>
                <w:color w:val="3A3A3A"/>
                <w:sz w:val="19"/>
                <w:szCs w:val="19"/>
              </w:rPr>
              <w:t xml:space="preserve">→ Cadre projet classique (spécifications, recette)</w:t>
            </w:r>
          </w:p>
          <w:p>
            <w:pPr>
              <w:spacing w:before="50" w:after="50" w:line="260"/>
            </w:pPr>
            <w:r>
              <w:rPr>
                <w:rFonts w:ascii="Marianne" w:cs="Marianne" w:eastAsia="Marianne" w:hAnsi="Marianne"/>
                <w:color w:val="3A3A3A"/>
                <w:sz w:val="19"/>
                <w:szCs w:val="19"/>
              </w:rPr>
              <w:t xml:space="preserve">→ IA appliquée aux processus métier critiques</w:t>
            </w:r>
          </w:p>
        </w:tc>
        <w:tc>
          <w:tcPr>
            <w:tcW w:type="dxa" w:w="4513"/>
            <w:tcBorders>
              <w:top w:val="single" w:color="000091" w:sz="4"/>
              <w:left w:val="single" w:color="EEEEEE" w:sz="1"/>
              <w:bottom w:val="single" w:color="DDDDDD" w:sz="1"/>
              <w:right w:val="single" w:color="DDDDDD" w:sz="1"/>
            </w:tcBorders>
            <w:shd w:fill="FFFFFF" w:val="clear"/>
            <w:tcMar>
              <w:top w:type="dxa" w:w="140"/>
              <w:left w:type="dxa" w:w="160"/>
              <w:bottom w:type="dxa" w:w="140"/>
              <w:right w:type="dxa" w:w="200"/>
            </w:tcMar>
          </w:tcPr>
          <w:p>
            <w:pPr>
              <w:spacing w:after="80"/>
            </w:pPr>
            <w:r>
              <w:rPr>
                <w:rFonts w:ascii="Marianne" w:cs="Marianne" w:eastAsia="Marianne" w:hAnsi="Marianne"/>
                <w:b/>
                <w:bCs/>
                <w:color w:val="000091"/>
                <w:sz w:val="22"/>
                <w:szCs w:val="22"/>
              </w:rPr>
              <w:t xml:space="preserve">Vibe Lab</w:t>
            </w:r>
          </w:p>
          <w:p>
            <w:pPr>
              <w:spacing w:before="50" w:after="50" w:line="260"/>
            </w:pPr>
            <w:r>
              <w:rPr>
                <w:rFonts w:ascii="Marianne" w:cs="Marianne" w:eastAsia="Marianne" w:hAnsi="Marianne"/>
                <w:color w:val="3A3A3A"/>
                <w:sz w:val="19"/>
                <w:szCs w:val="19"/>
              </w:rPr>
              <w:t xml:space="preserve">→ IA commerciale (Claude, Copilot) + souveraine (Albert)</w:t>
            </w:r>
          </w:p>
          <w:p>
            <w:pPr>
              <w:spacing w:before="50" w:after="50" w:line="260"/>
            </w:pPr>
            <w:r>
              <w:rPr>
                <w:rFonts w:ascii="Marianne" w:cs="Marianne" w:eastAsia="Marianne" w:hAnsi="Marianne"/>
                <w:color w:val="3A3A3A"/>
                <w:sz w:val="19"/>
                <w:szCs w:val="19"/>
              </w:rPr>
              <w:t xml:space="preserve">→ Données publiques ou agrégées uniquement</w:t>
            </w:r>
          </w:p>
          <w:p>
            <w:pPr>
              <w:spacing w:before="50" w:after="50" w:line="260"/>
            </w:pPr>
            <w:r>
              <w:rPr>
                <w:rFonts w:ascii="Marianne" w:cs="Marianne" w:eastAsia="Marianne" w:hAnsi="Marianne"/>
                <w:color w:val="3A3A3A"/>
                <w:sz w:val="19"/>
                <w:szCs w:val="19"/>
              </w:rPr>
              <w:t xml:space="preserve">→ Outils périphériques (hors SI métier)</w:t>
            </w:r>
          </w:p>
          <w:p>
            <w:pPr>
              <w:spacing w:before="50" w:after="50" w:line="260"/>
            </w:pPr>
            <w:r>
              <w:rPr>
                <w:rFonts w:ascii="Marianne" w:cs="Marianne" w:eastAsia="Marianne" w:hAnsi="Marianne"/>
                <w:color w:val="3A3A3A"/>
                <w:sz w:val="19"/>
                <w:szCs w:val="19"/>
              </w:rPr>
              <w:t xml:space="preserve">→ Aucune homologation nécessaire</w:t>
            </w:r>
          </w:p>
          <w:p>
            <w:pPr>
              <w:spacing w:before="50" w:after="50" w:line="260"/>
            </w:pPr>
            <w:r>
              <w:rPr>
                <w:rFonts w:ascii="Marianne" w:cs="Marianne" w:eastAsia="Marianne" w:hAnsi="Marianne"/>
                <w:color w:val="3A3A3A"/>
                <w:sz w:val="19"/>
                <w:szCs w:val="19"/>
              </w:rPr>
              <w:t xml:space="preserve">→ Prototypes rapides, jetables si besoin</w:t>
            </w:r>
          </w:p>
          <w:p>
            <w:pPr>
              <w:spacing w:before="50" w:after="50" w:line="260"/>
            </w:pPr>
            <w:r>
              <w:rPr>
                <w:rFonts w:ascii="Marianne" w:cs="Marianne" w:eastAsia="Marianne" w:hAnsi="Marianne"/>
                <w:color w:val="3A3A3A"/>
                <w:sz w:val="19"/>
                <w:szCs w:val="19"/>
              </w:rPr>
              <w:t xml:space="preserve">→ Itération continue, tests utilisateurs immédiats</w:t>
            </w:r>
          </w:p>
          <w:p>
            <w:pPr>
              <w:spacing w:before="50" w:after="50" w:line="260"/>
            </w:pPr>
            <w:r>
              <w:rPr>
                <w:rFonts w:ascii="Marianne" w:cs="Marianne" w:eastAsia="Marianne" w:hAnsi="Marianne"/>
                <w:color w:val="3A3A3A"/>
                <w:sz w:val="19"/>
                <w:szCs w:val="19"/>
              </w:rPr>
              <w:t xml:space="preserve">→ IA appliquée à l’outillage et au pilotage</w:t>
            </w:r>
          </w:p>
        </w:tc>
      </w:tr>
    </w:tbl>
    <w:p>
      <w:pPr>
        <w:spacing w:before="160" w:after="0"/>
      </w:pPr>
    </w:p>
    <w:p>
      <w:pPr>
        <w:pStyle w:val="Heading2"/>
        <w:spacing w:before="300" w:after="140"/>
      </w:pPr>
      <w:r>
        <w:rPr>
          <w:rFonts w:ascii="Marianne" w:cs="Marianne" w:eastAsia="Marianne" w:hAnsi="Marianne"/>
          <w:b/>
          <w:bCs/>
          <w:color w:val="000091"/>
          <w:sz w:val="26"/>
          <w:szCs w:val="26"/>
        </w:rPr>
        <w:t xml:space="preserve">2.1 La règle de démarcation</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AAAAAA" w:sz="12"/>
              <w:bottom w:val="none"/>
              <w:right w:val="none"/>
            </w:tcBorders>
            <w:shd w:fill="F6F6F6" w:val="clear"/>
            <w:tcMar>
              <w:top w:type="dxa" w:w="160"/>
              <w:left w:type="dxa" w:w="240"/>
              <w:bottom w:type="dxa" w:w="160"/>
              <w:right w:type="dxa" w:w="240"/>
            </w:tcMar>
          </w:tcPr>
          <w:p>
            <w:pPr>
              <w:spacing w:before="40" w:after="40" w:line="276"/>
            </w:pPr>
            <w:r>
              <w:rPr>
                <w:rFonts w:ascii="Marianne" w:cs="Marianne" w:eastAsia="Marianne" w:hAnsi="Marianne"/>
                <w:b/>
                <w:bCs/>
                <w:color w:val="3A3A3A"/>
                <w:sz w:val="21"/>
                <w:szCs w:val="21"/>
              </w:rPr>
              <w:t xml:space="preserve">Le Vibe Lab ne touche jamais :</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color w:val="3A3A3A"/>
                <w:sz w:val="21"/>
                <w:szCs w:val="21"/>
              </w:rPr>
              <w:t xml:space="preserve">→  aux SI métier (Chorus, SI-RH, SI Finances, applications fiscales)</w:t>
            </w:r>
          </w:p>
          <w:p>
            <w:pPr>
              <w:spacing w:before="40" w:after="40" w:line="276"/>
            </w:pPr>
            <w:r>
              <w:rPr>
                <w:rFonts w:ascii="Marianne" w:cs="Marianne" w:eastAsia="Marianne" w:hAnsi="Marianne"/>
                <w:color w:val="3A3A3A"/>
                <w:sz w:val="21"/>
                <w:szCs w:val="21"/>
              </w:rPr>
              <w:t xml:space="preserve">→  aux données personnelles, fiscales ou nominatives</w:t>
            </w:r>
          </w:p>
          <w:p>
            <w:pPr>
              <w:spacing w:before="40" w:after="40" w:line="276"/>
            </w:pPr>
            <w:r>
              <w:rPr>
                <w:rFonts w:ascii="Marianne" w:cs="Marianne" w:eastAsia="Marianne" w:hAnsi="Marianne"/>
                <w:color w:val="3A3A3A"/>
                <w:sz w:val="21"/>
                <w:szCs w:val="21"/>
              </w:rPr>
              <w:t xml:space="preserve">→  aux applications nécessitant une homologation de sécurité</w:t>
            </w:r>
          </w:p>
          <w:p>
            <w:pPr>
              <w:spacing w:before="40" w:after="40" w:line="276"/>
            </w:pPr>
            <w:r>
              <w:rPr>
                <w:rFonts w:ascii="Marianne" w:cs="Marianne" w:eastAsia="Marianne" w:hAnsi="Marianne"/>
                <w:color w:val="3A3A3A"/>
                <w:sz w:val="21"/>
                <w:szCs w:val="21"/>
              </w:rPr>
              <w:t xml:space="preserve">→  aux traitements de données classifiées ou protegées</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b/>
                <w:bCs/>
                <w:color w:val="3A3A3A"/>
                <w:sz w:val="21"/>
                <w:szCs w:val="21"/>
              </w:rPr>
              <w:t xml:space="preserve">Dès qu’un projet touche à l’un de ces périmètres, il relève de BercyHub. Cette règle est absolue.</w:t>
            </w:r>
          </w:p>
        </w:tc>
      </w:tr>
    </w:tbl>
    <w:p>
      <w:pPr>
        <w:spacing w:before="80" w:after="0"/>
      </w:pPr>
    </w:p>
    <w:p>
      <w:pPr>
        <w:spacing w:before="80" w:after="80" w:line="276"/>
        <w:jc w:val="both"/>
      </w:pPr>
      <w:r>
        <w:rPr>
          <w:rFonts w:ascii="Marianne" w:cs="Marianne" w:eastAsia="Marianne" w:hAnsi="Marianne"/>
          <w:color w:val="3A3A3A"/>
          <w:sz w:val="21"/>
          <w:szCs w:val="21"/>
        </w:rPr>
        <w:t xml:space="preserve">Le Vibe Lab opère dans la « couche d’intelligence » au-dessus des SI : celle qui rend lisible ce qui existe déjà dans des tableaux Excel, des PDF de 200 pages, des API publiques ou des exports anonymisés. Il produit des interfaces, des tableaux de bord, des simulateurs, des outils d’aide à la décision — pas des traitements de données sensibles.</w:t>
      </w:r>
    </w:p>
    <w:p>
      <w:pPr>
        <w:pStyle w:val="Heading2"/>
        <w:spacing w:before="300" w:after="140"/>
      </w:pPr>
      <w:r>
        <w:rPr>
          <w:rFonts w:ascii="Marianne" w:cs="Marianne" w:eastAsia="Marianne" w:hAnsi="Marianne"/>
          <w:b/>
          <w:bCs/>
          <w:color w:val="000091"/>
          <w:sz w:val="26"/>
          <w:szCs w:val="26"/>
        </w:rPr>
        <w:t xml:space="preserve">2.2 Ce qui les rapproche</w:t>
      </w:r>
    </w:p>
    <w:p>
      <w:pPr>
        <w:spacing w:before="80" w:after="80" w:line="276"/>
        <w:jc w:val="both"/>
      </w:pPr>
      <w:r>
        <w:rPr>
          <w:rFonts w:ascii="Marianne" w:cs="Marianne" w:eastAsia="Marianne" w:hAnsi="Marianne"/>
          <w:color w:val="3A3A3A"/>
          <w:sz w:val="21"/>
          <w:szCs w:val="21"/>
        </w:rPr>
        <w:t xml:space="preserve">BercyHub et le Vibe Lab partagent une conviction : l’IA peut transformer le fonctionnement du ministère. Ils diffèrent sur la manière, pas sur l’objectif. Un scénario naturel : le Vibe Lab prototyppe un outil sur données publiques, la direction valide le concept, BercyHub le reprend et l’industrialise sur les données sensibles si nécessaire. Le Vibe Lab devient alors un éclaireur pour BercyHub.</w:t>
      </w:r>
    </w:p>
    <w:p>
      <w:r>
        <w:br w:type="page"/>
      </w:r>
    </w:p>
    <w:p>
      <w:pPr>
        <w:pStyle w:val="Heading1"/>
        <w:spacing w:before="400" w:after="200"/>
      </w:pPr>
      <w:r>
        <w:rPr>
          <w:rFonts w:ascii="Marianne" w:cs="Marianne" w:eastAsia="Marianne" w:hAnsi="Marianne"/>
          <w:b/>
          <w:bCs/>
          <w:color w:val="000091"/>
          <w:sz w:val="32"/>
          <w:szCs w:val="32"/>
        </w:rPr>
        <w:t xml:space="preserve">3. Ressources humaines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000091" w:sz="12"/>
              <w:bottom w:val="none"/>
              <w:right w:val="none"/>
            </w:tcBorders>
            <w:shd w:fill="E3E3FD" w:val="clear"/>
            <w:tcMar>
              <w:top w:type="dxa" w:w="160"/>
              <w:left w:type="dxa" w:w="240"/>
              <w:bottom w:type="dxa" w:w="160"/>
              <w:right w:type="dxa" w:w="240"/>
            </w:tcMar>
          </w:tcPr>
          <w:p>
            <w:pPr>
              <w:spacing w:before="40" w:after="40" w:line="276"/>
            </w:pPr>
            <w:r>
              <w:rPr>
                <w:rFonts w:ascii="Marianne" w:cs="Marianne" w:eastAsia="Marianne" w:hAnsi="Marianne"/>
                <w:b/>
                <w:bCs/>
                <w:color w:val="3A3A3A"/>
                <w:sz w:val="21"/>
                <w:szCs w:val="21"/>
              </w:rPr>
              <w:t xml:space="preserve">Périmètre : outillage autour du SIRH, jamais dedans. Données publiques (grilles indiciaires, RIME, circulaires RH) ou résultats d’enquêtes agrégés et anonymisés.</w:t>
            </w:r>
          </w:p>
        </w:tc>
      </w:tr>
    </w:tbl>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000091" w:sz="4"/>
              <w:left w:val="single" w:color="EEEEEE" w:sz="1"/>
              <w:bottom w:val="single" w:color="EEEEEE" w:sz="1"/>
              <w:right w:val="single" w:color="EEEEEE" w:sz="1"/>
            </w:tcBorders>
            <w:shd w:fill="FFFFFF" w:val="clear"/>
            <w:tcMar>
              <w:top w:type="dxa" w:w="160"/>
              <w:left w:type="dxa" w:w="240"/>
              <w:bottom w:type="dxa" w:w="160"/>
              <w:right w:type="dxa" w:w="240"/>
            </w:tcMar>
          </w:tcPr>
          <w:p>
            <w:pPr>
              <w:spacing w:after="80"/>
            </w:pPr>
            <w:r>
              <w:rPr>
                <w:rFonts w:ascii="Marianne" w:cs="Marianne" w:eastAsia="Marianne" w:hAnsi="Marianne"/>
                <w:b/>
                <w:bCs/>
                <w:color w:val="000091"/>
                <w:sz w:val="23"/>
                <w:szCs w:val="23"/>
              </w:rPr>
              <w:t xml:space="preserve">Simulateur de parcours de carrière</w:t>
            </w:r>
          </w:p>
          <w:p>
            <w:pPr>
              <w:spacing w:before="40" w:after="80" w:line="276"/>
              <w:jc w:val="both"/>
            </w:pPr>
            <w:r>
              <w:rPr>
                <w:rFonts w:ascii="Marianne" w:cs="Marianne" w:eastAsia="Marianne" w:hAnsi="Marianne"/>
                <w:color w:val="3A3A3A"/>
                <w:sz w:val="20"/>
                <w:szCs w:val="20"/>
              </w:rPr>
              <w:t xml:space="preserve">Un agent saisit son grade, son échelon et son ancienneté. L’outil projette sa rémunération sur 5 à 10 ans selon les différents scénarios d’avancement, à partir des grilles indiciaires publiées au Journal officiel.</w:t>
            </w:r>
          </w:p>
          <w:p>
            <w:pPr>
              <w:spacing w:before="30" w:after="30" w:line="252"/>
            </w:pPr>
            <w:r>
              <w:rPr>
                <w:rFonts w:ascii="Marianne" w:cs="Marianne" w:eastAsia="Marianne" w:hAnsi="Marianne"/>
                <w:color w:val="3A3A3A"/>
                <w:sz w:val="19"/>
                <w:szCs w:val="19"/>
              </w:rPr>
              <w:t xml:space="preserve">→ Données source : grilles indiciaires publiques, décrets statutaires</w:t>
            </w:r>
          </w:p>
          <w:p>
            <w:pPr>
              <w:spacing w:before="30" w:after="30" w:line="252"/>
            </w:pPr>
            <w:r>
              <w:rPr>
                <w:rFonts w:ascii="Marianne" w:cs="Marianne" w:eastAsia="Marianne" w:hAnsi="Marianne"/>
                <w:color w:val="3A3A3A"/>
                <w:sz w:val="19"/>
                <w:szCs w:val="19"/>
              </w:rPr>
              <w:t xml:space="preserve">→ Aucune donnée personnelle : l’agent saisit lui-même ses informations, rien n’est stocké</w:t>
            </w:r>
          </w:p>
          <w:p>
            <w:pPr>
              <w:spacing w:before="30" w:after="30" w:line="252"/>
            </w:pPr>
            <w:r>
              <w:rPr>
                <w:rFonts w:ascii="Marianne" w:cs="Marianne" w:eastAsia="Marianne" w:hAnsi="Marianne"/>
                <w:color w:val="3A3A3A"/>
                <w:sz w:val="19"/>
                <w:szCs w:val="19"/>
              </w:rPr>
              <w:t xml:space="preserve">→ Valeur : autonomie des agents, désengorgement des bureaux RH sur les questions récurrentes</w:t>
            </w:r>
          </w:p>
        </w:tc>
      </w:tr>
    </w:tbl>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000091" w:sz="4"/>
              <w:left w:val="single" w:color="EEEEEE" w:sz="1"/>
              <w:bottom w:val="single" w:color="EEEEEE" w:sz="1"/>
              <w:right w:val="single" w:color="EEEEEE" w:sz="1"/>
            </w:tcBorders>
            <w:shd w:fill="FFFFFF" w:val="clear"/>
            <w:tcMar>
              <w:top w:type="dxa" w:w="160"/>
              <w:left w:type="dxa" w:w="240"/>
              <w:bottom w:type="dxa" w:w="160"/>
              <w:right w:type="dxa" w:w="240"/>
            </w:tcMar>
          </w:tcPr>
          <w:p>
            <w:pPr>
              <w:spacing w:after="80"/>
            </w:pPr>
            <w:r>
              <w:rPr>
                <w:rFonts w:ascii="Marianne" w:cs="Marianne" w:eastAsia="Marianne" w:hAnsi="Marianne"/>
                <w:b/>
                <w:bCs/>
                <w:color w:val="000091"/>
                <w:sz w:val="23"/>
                <w:szCs w:val="23"/>
              </w:rPr>
              <w:t xml:space="preserve">Générateur de fiches de poste</w:t>
            </w:r>
          </w:p>
          <w:p>
            <w:pPr>
              <w:spacing w:before="40" w:after="80" w:line="276"/>
              <w:jc w:val="both"/>
            </w:pPr>
            <w:r>
              <w:rPr>
                <w:rFonts w:ascii="Marianne" w:cs="Marianne" w:eastAsia="Marianne" w:hAnsi="Marianne"/>
                <w:color w:val="3A3A3A"/>
                <w:sz w:val="20"/>
                <w:szCs w:val="20"/>
              </w:rPr>
              <w:t xml:space="preserve">L’IA génère une fiche de poste conforme au RIME à partir d’une description de besoin en langage naturel. Elle suggère les compétences associées, le niveau requis, et produit un document formaté directement utilisable.</w:t>
            </w:r>
          </w:p>
          <w:p>
            <w:pPr>
              <w:spacing w:before="30" w:after="30" w:line="252"/>
            </w:pPr>
            <w:r>
              <w:rPr>
                <w:rFonts w:ascii="Marianne" w:cs="Marianne" w:eastAsia="Marianne" w:hAnsi="Marianne"/>
                <w:color w:val="3A3A3A"/>
                <w:sz w:val="19"/>
                <w:szCs w:val="19"/>
              </w:rPr>
              <w:t xml:space="preserve">→ Données source : référentiel RIME (public), fiches métiers DGAFP</w:t>
            </w:r>
          </w:p>
          <w:p>
            <w:pPr>
              <w:spacing w:before="30" w:after="30" w:line="252"/>
            </w:pPr>
            <w:r>
              <w:rPr>
                <w:rFonts w:ascii="Marianne" w:cs="Marianne" w:eastAsia="Marianne" w:hAnsi="Marianne"/>
                <w:color w:val="3A3A3A"/>
                <w:sz w:val="19"/>
                <w:szCs w:val="19"/>
              </w:rPr>
              <w:t xml:space="preserve">→ Gain de temps estimé : 1 à 2 heures par fiche, des centaines établies chaque année</w:t>
            </w:r>
          </w:p>
          <w:p>
            <w:pPr>
              <w:spacing w:before="30" w:after="30" w:line="252"/>
            </w:pPr>
            <w:r>
              <w:rPr>
                <w:rFonts w:ascii="Marianne" w:cs="Marianne" w:eastAsia="Marianne" w:hAnsi="Marianne"/>
                <w:color w:val="3A3A3A"/>
                <w:sz w:val="19"/>
                <w:szCs w:val="19"/>
              </w:rPr>
              <w:t xml:space="preserve">→ Valeur : homogénéité des fiches, conformité au référentiel, rapidité</w:t>
            </w:r>
          </w:p>
        </w:tc>
      </w:tr>
    </w:tbl>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6A6AF4" w:sz="4"/>
              <w:left w:val="single" w:color="EEEEEE" w:sz="1"/>
              <w:bottom w:val="single" w:color="EEEEEE" w:sz="1"/>
              <w:right w:val="single" w:color="EEEEEE" w:sz="1"/>
            </w:tcBorders>
            <w:shd w:fill="FFFFFF" w:val="clear"/>
            <w:tcMar>
              <w:top w:type="dxa" w:w="160"/>
              <w:left w:type="dxa" w:w="240"/>
              <w:bottom w:type="dxa" w:w="160"/>
              <w:right w:type="dxa" w:w="240"/>
            </w:tcMar>
          </w:tcPr>
          <w:p>
            <w:pPr>
              <w:spacing w:after="80"/>
            </w:pPr>
            <w:r>
              <w:rPr>
                <w:rFonts w:ascii="Marianne" w:cs="Marianne" w:eastAsia="Marianne" w:hAnsi="Marianne"/>
                <w:b/>
                <w:bCs/>
                <w:color w:val="6A6AF4"/>
                <w:sz w:val="23"/>
                <w:szCs w:val="23"/>
              </w:rPr>
              <w:t xml:space="preserve">Analyse des enquêtes RH internes</w:t>
            </w:r>
          </w:p>
          <w:p>
            <w:pPr>
              <w:spacing w:before="40" w:after="80" w:line="276"/>
              <w:jc w:val="both"/>
            </w:pPr>
            <w:r>
              <w:rPr>
                <w:rFonts w:ascii="Marianne" w:cs="Marianne" w:eastAsia="Marianne" w:hAnsi="Marianne"/>
                <w:color w:val="3A3A3A"/>
                <w:sz w:val="20"/>
                <w:szCs w:val="20"/>
              </w:rPr>
              <w:t xml:space="preserve">Clustering sémantique et synthèse IA des réponses ouvertes au baromètre social, aux enquêtes télétravail, aux consultations internes. La technique est identique à celle déjà validée dans Portail Eco Browser (HDBSCAN/UMAP + RAG).</w:t>
            </w:r>
          </w:p>
          <w:p>
            <w:pPr>
              <w:spacing w:before="30" w:after="30" w:line="252"/>
            </w:pPr>
            <w:r>
              <w:rPr>
                <w:rFonts w:ascii="Marianne" w:cs="Marianne" w:eastAsia="Marianne" w:hAnsi="Marianne"/>
                <w:color w:val="3A3A3A"/>
                <w:sz w:val="19"/>
                <w:szCs w:val="19"/>
              </w:rPr>
              <w:t xml:space="preserve">→ Données : verbatims agrégés et anonymisés, fournis par la DRH</w:t>
            </w:r>
          </w:p>
          <w:p>
            <w:pPr>
              <w:spacing w:before="30" w:after="30" w:line="252"/>
            </w:pPr>
            <w:r>
              <w:rPr>
                <w:rFonts w:ascii="Marianne" w:cs="Marianne" w:eastAsia="Marianne" w:hAnsi="Marianne"/>
                <w:color w:val="3A3A3A"/>
                <w:sz w:val="19"/>
                <w:szCs w:val="19"/>
              </w:rPr>
              <w:t xml:space="preserve">→ L’outil ne voit jamais de donnée nominative : les réponses sont anonymisées en amont</w:t>
            </w:r>
          </w:p>
          <w:p>
            <w:pPr>
              <w:spacing w:before="30" w:after="30" w:line="252"/>
            </w:pPr>
            <w:r>
              <w:rPr>
                <w:rFonts w:ascii="Marianne" w:cs="Marianne" w:eastAsia="Marianne" w:hAnsi="Marianne"/>
                <w:color w:val="3A3A3A"/>
                <w:sz w:val="19"/>
                <w:szCs w:val="19"/>
              </w:rPr>
              <w:t xml:space="preserve">→ Valeur : 3 jours d’analyse manuelle ramenés à quelques heures</w:t>
            </w:r>
          </w:p>
        </w:tc>
      </w:tr>
    </w:tbl>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6A6AF4" w:sz="4"/>
              <w:left w:val="single" w:color="EEEEEE" w:sz="1"/>
              <w:bottom w:val="single" w:color="EEEEEE" w:sz="1"/>
              <w:right w:val="single" w:color="EEEEEE" w:sz="1"/>
            </w:tcBorders>
            <w:shd w:fill="FFFFFF" w:val="clear"/>
            <w:tcMar>
              <w:top w:type="dxa" w:w="160"/>
              <w:left w:type="dxa" w:w="240"/>
              <w:bottom w:type="dxa" w:w="160"/>
              <w:right w:type="dxa" w:w="240"/>
            </w:tcMar>
          </w:tcPr>
          <w:p>
            <w:pPr>
              <w:spacing w:after="80"/>
            </w:pPr>
            <w:r>
              <w:rPr>
                <w:rFonts w:ascii="Marianne" w:cs="Marianne" w:eastAsia="Marianne" w:hAnsi="Marianne"/>
                <w:b/>
                <w:bCs/>
                <w:color w:val="6A6AF4"/>
                <w:sz w:val="23"/>
                <w:szCs w:val="23"/>
              </w:rPr>
              <w:t xml:space="preserve">Chatbot d’orientation RH</w:t>
            </w:r>
          </w:p>
          <w:p>
            <w:pPr>
              <w:spacing w:before="40" w:after="80" w:line="276"/>
              <w:jc w:val="both"/>
            </w:pPr>
            <w:r>
              <w:rPr>
                <w:rFonts w:ascii="Marianne" w:cs="Marianne" w:eastAsia="Marianne" w:hAnsi="Marianne"/>
                <w:color w:val="3A3A3A"/>
                <w:sz w:val="20"/>
                <w:szCs w:val="20"/>
              </w:rPr>
              <w:t xml:space="preserve">Un agent pose une question en langage naturel (« comment poser un CET », « quel est le délai de carence »). L’IA répond à partir de la base documentaire publique des circulaires RH, notes de service et guides pratiques.</w:t>
            </w:r>
          </w:p>
          <w:p>
            <w:pPr>
              <w:spacing w:before="30" w:after="30" w:line="252"/>
            </w:pPr>
            <w:r>
              <w:rPr>
                <w:rFonts w:ascii="Marianne" w:cs="Marianne" w:eastAsia="Marianne" w:hAnsi="Marianne"/>
                <w:color w:val="3A3A3A"/>
                <w:sz w:val="19"/>
                <w:szCs w:val="19"/>
              </w:rPr>
              <w:t xml:space="preserve">→ Données source : circulaires publiées, notes de service, guides intranet (documents non classifiés)</w:t>
            </w:r>
          </w:p>
          <w:p>
            <w:pPr>
              <w:spacing w:before="30" w:after="30" w:line="252"/>
            </w:pPr>
            <w:r>
              <w:rPr>
                <w:rFonts w:ascii="Marianne" w:cs="Marianne" w:eastAsia="Marianne" w:hAnsi="Marianne"/>
                <w:color w:val="3A3A3A"/>
                <w:sz w:val="19"/>
                <w:szCs w:val="19"/>
              </w:rPr>
              <w:t xml:space="preserve">→ Architecture RAG : indexation des documents, recherche sémantique, réponse générée avec source</w:t>
            </w:r>
          </w:p>
          <w:p>
            <w:pPr>
              <w:spacing w:before="30" w:after="30" w:line="252"/>
            </w:pPr>
            <w:r>
              <w:rPr>
                <w:rFonts w:ascii="Marianne" w:cs="Marianne" w:eastAsia="Marianne" w:hAnsi="Marianne"/>
                <w:color w:val="3A3A3A"/>
                <w:sz w:val="19"/>
                <w:szCs w:val="19"/>
              </w:rPr>
              <w:t xml:space="preserve">→ Valeur : réponse immédiate 24/7, réduction de la charge sur le bureau RH de proximité</w:t>
            </w:r>
          </w:p>
        </w:tc>
      </w:tr>
    </w:tbl>
    <w:p>
      <w:r>
        <w:br w:type="page"/>
      </w:r>
    </w:p>
    <w:p>
      <w:pPr>
        <w:pStyle w:val="Heading1"/>
        <w:spacing w:before="400" w:after="200"/>
      </w:pPr>
      <w:r>
        <w:rPr>
          <w:rFonts w:ascii="Marianne" w:cs="Marianne" w:eastAsia="Marianne" w:hAnsi="Marianne"/>
          <w:b/>
          <w:bCs/>
          <w:color w:val="000091"/>
          <w:sz w:val="32"/>
          <w:szCs w:val="32"/>
        </w:rPr>
        <w:t xml:space="preserve">4. Finances et pilotage budgétaire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000091" w:sz="12"/>
              <w:bottom w:val="none"/>
              <w:right w:val="none"/>
            </w:tcBorders>
            <w:shd w:fill="E3E3FD" w:val="clear"/>
            <w:tcMar>
              <w:top w:type="dxa" w:w="160"/>
              <w:left w:type="dxa" w:w="240"/>
              <w:bottom w:type="dxa" w:w="160"/>
              <w:right w:type="dxa" w:w="240"/>
            </w:tcMar>
          </w:tcPr>
          <w:p>
            <w:pPr>
              <w:spacing w:before="40" w:after="40" w:line="276"/>
            </w:pPr>
            <w:r>
              <w:rPr>
                <w:rFonts w:ascii="Marianne" w:cs="Marianne" w:eastAsia="Marianne" w:hAnsi="Marianne"/>
                <w:b/>
                <w:bCs/>
                <w:color w:val="3A3A3A"/>
                <w:sz w:val="21"/>
                <w:szCs w:val="21"/>
              </w:rPr>
              <w:t xml:space="preserve">Périmètre : pilotage et aide à la décision, jamais de traitement comptable. Données publiques (LOLF, PAP/RAP, data.gouv.fr) ou exports anonymisés fournis par l’agent.</w:t>
            </w:r>
          </w:p>
        </w:tc>
      </w:tr>
    </w:tbl>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18753C" w:sz="4"/>
              <w:left w:val="single" w:color="EEEEEE" w:sz="1"/>
              <w:bottom w:val="single" w:color="EEEEEE" w:sz="1"/>
              <w:right w:val="single" w:color="EEEEEE" w:sz="1"/>
            </w:tcBorders>
            <w:shd w:fill="FFFFFF" w:val="clear"/>
            <w:tcMar>
              <w:top w:type="dxa" w:w="160"/>
              <w:left w:type="dxa" w:w="240"/>
              <w:bottom w:type="dxa" w:w="160"/>
              <w:right w:type="dxa" w:w="240"/>
            </w:tcMar>
          </w:tcPr>
          <w:p>
            <w:pPr>
              <w:spacing w:after="80"/>
            </w:pPr>
            <w:r>
              <w:rPr>
                <w:rFonts w:ascii="Marianne" w:cs="Marianne" w:eastAsia="Marianne" w:hAnsi="Marianne"/>
                <w:b/>
                <w:bCs/>
                <w:color w:val="18753C"/>
                <w:sz w:val="23"/>
                <w:szCs w:val="23"/>
              </w:rPr>
              <w:t xml:space="preserve">Tableau de bord d’exécution budgétaire</w:t>
            </w:r>
          </w:p>
          <w:p>
            <w:pPr>
              <w:spacing w:before="40" w:after="80" w:line="276"/>
              <w:jc w:val="both"/>
            </w:pPr>
            <w:r>
              <w:rPr>
                <w:rFonts w:ascii="Marianne" w:cs="Marianne" w:eastAsia="Marianne" w:hAnsi="Marianne"/>
                <w:color w:val="3A3A3A"/>
                <w:sz w:val="20"/>
                <w:szCs w:val="20"/>
              </w:rPr>
              <w:t xml:space="preserve">Visualisation interactive des données d’exécution budgétaire publiées sur data.gouv.fr : crédits ouverts, consommés, reports, par programme et action. Dataviz DSFR, filtrables par exercice et périmètre.</w:t>
            </w:r>
          </w:p>
          <w:p>
            <w:pPr>
              <w:spacing w:before="30" w:after="30" w:line="252"/>
            </w:pPr>
            <w:r>
              <w:rPr>
                <w:rFonts w:ascii="Marianne" w:cs="Marianne" w:eastAsia="Marianne" w:hAnsi="Marianne"/>
                <w:color w:val="3A3A3A"/>
                <w:sz w:val="19"/>
                <w:szCs w:val="19"/>
              </w:rPr>
              <w:t xml:space="preserve">→ Données source : données LOLF publiques, PAP/RAP, documents budgétaires (bleus, jaunes)</w:t>
            </w:r>
          </w:p>
          <w:p>
            <w:pPr>
              <w:spacing w:before="30" w:after="30" w:line="252"/>
            </w:pPr>
            <w:r>
              <w:rPr>
                <w:rFonts w:ascii="Marianne" w:cs="Marianne" w:eastAsia="Marianne" w:hAnsi="Marianne"/>
                <w:color w:val="3A3A3A"/>
                <w:sz w:val="19"/>
                <w:szCs w:val="19"/>
              </w:rPr>
              <w:t xml:space="preserve">→ Aucune connexion à Chorus : uniquement les données publiées post-exécution</w:t>
            </w:r>
          </w:p>
          <w:p>
            <w:pPr>
              <w:spacing w:before="30" w:after="30" w:line="252"/>
            </w:pPr>
            <w:r>
              <w:rPr>
                <w:rFonts w:ascii="Marianne" w:cs="Marianne" w:eastAsia="Marianne" w:hAnsi="Marianne"/>
                <w:color w:val="3A3A3A"/>
                <w:sz w:val="19"/>
                <w:szCs w:val="19"/>
              </w:rPr>
              <w:t xml:space="preserve">→ Valeur : rendre lisible ce qui existe en PDF de 500 pages, accélérer le pilotage</w:t>
            </w:r>
          </w:p>
        </w:tc>
      </w:tr>
    </w:tbl>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18753C" w:sz="4"/>
              <w:left w:val="single" w:color="EEEEEE" w:sz="1"/>
              <w:bottom w:val="single" w:color="EEEEEE" w:sz="1"/>
              <w:right w:val="single" w:color="EEEEEE" w:sz="1"/>
            </w:tcBorders>
            <w:shd w:fill="FFFFFF" w:val="clear"/>
            <w:tcMar>
              <w:top w:type="dxa" w:w="160"/>
              <w:left w:type="dxa" w:w="240"/>
              <w:bottom w:type="dxa" w:w="160"/>
              <w:right w:type="dxa" w:w="240"/>
            </w:tcMar>
          </w:tcPr>
          <w:p>
            <w:pPr>
              <w:spacing w:after="80"/>
            </w:pPr>
            <w:r>
              <w:rPr>
                <w:rFonts w:ascii="Marianne" w:cs="Marianne" w:eastAsia="Marianne" w:hAnsi="Marianne"/>
                <w:b/>
                <w:bCs/>
                <w:color w:val="18753C"/>
                <w:sz w:val="23"/>
                <w:szCs w:val="23"/>
              </w:rPr>
              <w:t xml:space="preserve">Simulateur d’impact budgétaire</w:t>
            </w:r>
          </w:p>
          <w:p>
            <w:pPr>
              <w:spacing w:before="40" w:after="80" w:line="276"/>
              <w:jc w:val="both"/>
            </w:pPr>
            <w:r>
              <w:rPr>
                <w:rFonts w:ascii="Marianne" w:cs="Marianne" w:eastAsia="Marianne" w:hAnsi="Marianne"/>
                <w:color w:val="3A3A3A"/>
                <w:sz w:val="20"/>
                <w:szCs w:val="20"/>
              </w:rPr>
              <w:t xml:space="preserve">L’agent saisit un scénario (« recruter 3 agents de catégorie A en septembre ») et l’outil calcule l’impact sur le titre 2 à partir des barèmes publics. Pas d’accès au SI comptable : le calcul repose sur les grilles et taux publiés.</w:t>
            </w:r>
          </w:p>
          <w:p>
            <w:pPr>
              <w:spacing w:before="30" w:after="30" w:line="252"/>
            </w:pPr>
            <w:r>
              <w:rPr>
                <w:rFonts w:ascii="Marianne" w:cs="Marianne" w:eastAsia="Marianne" w:hAnsi="Marianne"/>
                <w:color w:val="3A3A3A"/>
                <w:sz w:val="19"/>
                <w:szCs w:val="19"/>
              </w:rPr>
              <w:t xml:space="preserve">→ Données source : barèmes de rémunération publics, taux de cotisation, grilles indiciaires</w:t>
            </w:r>
          </w:p>
          <w:p>
            <w:pPr>
              <w:spacing w:before="30" w:after="30" w:line="252"/>
            </w:pPr>
            <w:r>
              <w:rPr>
                <w:rFonts w:ascii="Marianne" w:cs="Marianne" w:eastAsia="Marianne" w:hAnsi="Marianne"/>
                <w:color w:val="3A3A3A"/>
                <w:sz w:val="19"/>
                <w:szCs w:val="19"/>
              </w:rPr>
              <w:t xml:space="preserve">→ Mode calculatrice : l’agent fournit les hypothèses, l’outil calcule</w:t>
            </w:r>
          </w:p>
          <w:p>
            <w:pPr>
              <w:spacing w:before="30" w:after="30" w:line="252"/>
            </w:pPr>
            <w:r>
              <w:rPr>
                <w:rFonts w:ascii="Marianne" w:cs="Marianne" w:eastAsia="Marianne" w:hAnsi="Marianne"/>
                <w:color w:val="3A3A3A"/>
                <w:sz w:val="19"/>
                <w:szCs w:val="19"/>
              </w:rPr>
              <w:t xml:space="preserve">→ Valeur : arbitrages budgétaires accélérés, scénarios multiples en quelques minutes</w:t>
            </w:r>
          </w:p>
        </w:tc>
      </w:tr>
    </w:tbl>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18753C" w:sz="4"/>
              <w:left w:val="single" w:color="EEEEEE" w:sz="1"/>
              <w:bottom w:val="single" w:color="EEEEEE" w:sz="1"/>
              <w:right w:val="single" w:color="EEEEEE" w:sz="1"/>
            </w:tcBorders>
            <w:shd w:fill="FFFFFF" w:val="clear"/>
            <w:tcMar>
              <w:top w:type="dxa" w:w="160"/>
              <w:left w:type="dxa" w:w="240"/>
              <w:bottom w:type="dxa" w:w="160"/>
              <w:right w:type="dxa" w:w="240"/>
            </w:tcMar>
          </w:tcPr>
          <w:p>
            <w:pPr>
              <w:spacing w:after="80"/>
            </w:pPr>
            <w:r>
              <w:rPr>
                <w:rFonts w:ascii="Marianne" w:cs="Marianne" w:eastAsia="Marianne" w:hAnsi="Marianne"/>
                <w:b/>
                <w:bCs/>
                <w:color w:val="18753C"/>
                <w:sz w:val="23"/>
                <w:szCs w:val="23"/>
              </w:rPr>
              <w:t xml:space="preserve">Générateur de rapports de gestion</w:t>
            </w:r>
          </w:p>
          <w:p>
            <w:pPr>
              <w:spacing w:before="40" w:after="80" w:line="276"/>
              <w:jc w:val="both"/>
            </w:pPr>
            <w:r>
              <w:rPr>
                <w:rFonts w:ascii="Marianne" w:cs="Marianne" w:eastAsia="Marianne" w:hAnsi="Marianne"/>
                <w:color w:val="3A3A3A"/>
                <w:sz w:val="20"/>
                <w:szCs w:val="20"/>
              </w:rPr>
              <w:t xml:space="preserve">L’agent exporte des données agrégées depuis ses outils (CSV, Excel) et les dépose dans le Vibe Lab. L’IA les met en forme : tableaux, graphiques DSFR, commentaires automatisés, document prêt à diffuser.</w:t>
            </w:r>
          </w:p>
          <w:p>
            <w:pPr>
              <w:spacing w:before="30" w:after="30" w:line="252"/>
            </w:pPr>
            <w:r>
              <w:rPr>
                <w:rFonts w:ascii="Marianne" w:cs="Marianne" w:eastAsia="Marianne" w:hAnsi="Marianne"/>
                <w:color w:val="3A3A3A"/>
                <w:sz w:val="19"/>
                <w:szCs w:val="19"/>
              </w:rPr>
              <w:t xml:space="preserve">→ Le Vibe Lab ne touche pas au SI : c’est l’agent qui fait le pont en exportant les données</w:t>
            </w:r>
          </w:p>
          <w:p>
            <w:pPr>
              <w:spacing w:before="30" w:after="30" w:line="252"/>
            </w:pPr>
            <w:r>
              <w:rPr>
                <w:rFonts w:ascii="Marianne" w:cs="Marianne" w:eastAsia="Marianne" w:hAnsi="Marianne"/>
                <w:color w:val="3A3A3A"/>
                <w:sz w:val="19"/>
                <w:szCs w:val="19"/>
              </w:rPr>
              <w:t xml:space="preserve">→ Les exports sont agrégés et anonymisés avant traitement</w:t>
            </w:r>
          </w:p>
          <w:p>
            <w:pPr>
              <w:spacing w:before="30" w:after="30" w:line="252"/>
            </w:pPr>
            <w:r>
              <w:rPr>
                <w:rFonts w:ascii="Marianne" w:cs="Marianne" w:eastAsia="Marianne" w:hAnsi="Marianne"/>
                <w:color w:val="3A3A3A"/>
                <w:sz w:val="19"/>
                <w:szCs w:val="19"/>
              </w:rPr>
              <w:t xml:space="preserve">→ Valeur : diviser par 5 le temps de production des rapports de gestion</w:t>
            </w:r>
          </w:p>
        </w:tc>
      </w:tr>
    </w:tbl>
    <w:p>
      <w:r>
        <w:br w:type="page"/>
      </w:r>
    </w:p>
    <w:p>
      <w:pPr>
        <w:pStyle w:val="Heading1"/>
        <w:spacing w:before="400" w:after="200"/>
      </w:pPr>
      <w:r>
        <w:rPr>
          <w:rFonts w:ascii="Marianne" w:cs="Marianne" w:eastAsia="Marianne" w:hAnsi="Marianne"/>
          <w:b/>
          <w:bCs/>
          <w:color w:val="000091"/>
          <w:sz w:val="32"/>
          <w:szCs w:val="32"/>
        </w:rPr>
        <w:t xml:space="preserve">5. Gestion immobilière et environnement de travail</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000091" w:sz="12"/>
              <w:bottom w:val="none"/>
              <w:right w:val="none"/>
            </w:tcBorders>
            <w:shd w:fill="E3E3FD" w:val="clear"/>
            <w:tcMar>
              <w:top w:type="dxa" w:w="160"/>
              <w:left w:type="dxa" w:w="240"/>
              <w:bottom w:type="dxa" w:w="160"/>
              <w:right w:type="dxa" w:w="240"/>
            </w:tcMar>
          </w:tcPr>
          <w:p>
            <w:pPr>
              <w:spacing w:before="40" w:after="40" w:line="276"/>
            </w:pPr>
            <w:r>
              <w:rPr>
                <w:rFonts w:ascii="Marianne" w:cs="Marianne" w:eastAsia="Marianne" w:hAnsi="Marianne"/>
                <w:b/>
                <w:bCs/>
                <w:color w:val="3A3A3A"/>
                <w:sz w:val="21"/>
                <w:szCs w:val="21"/>
              </w:rPr>
              <w:t xml:space="preserve">Périmètre : outils de pilotage, de signalement et d’information. Aucune donnée personnelle, aucune connexion aux systèmes de contrôle d’accès.</w:t>
            </w:r>
          </w:p>
        </w:tc>
      </w:tr>
    </w:tbl>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6E445A" w:sz="4"/>
              <w:left w:val="single" w:color="EEEEEE" w:sz="1"/>
              <w:bottom w:val="single" w:color="EEEEEE" w:sz="1"/>
              <w:right w:val="single" w:color="EEEEEE" w:sz="1"/>
            </w:tcBorders>
            <w:shd w:fill="FFFFFF" w:val="clear"/>
            <w:tcMar>
              <w:top w:type="dxa" w:w="160"/>
              <w:left w:type="dxa" w:w="240"/>
              <w:bottom w:type="dxa" w:w="160"/>
              <w:right w:type="dxa" w:w="240"/>
            </w:tcMar>
          </w:tcPr>
          <w:p>
            <w:pPr>
              <w:spacing w:after="80"/>
            </w:pPr>
            <w:r>
              <w:rPr>
                <w:rFonts w:ascii="Marianne" w:cs="Marianne" w:eastAsia="Marianne" w:hAnsi="Marianne"/>
                <w:b/>
                <w:bCs/>
                <w:color w:val="6E445A"/>
                <w:sz w:val="23"/>
                <w:szCs w:val="23"/>
              </w:rPr>
              <w:t xml:space="preserve">Guide interactif des sites ministériels</w:t>
            </w:r>
          </w:p>
          <w:p>
            <w:pPr>
              <w:spacing w:before="40" w:after="80" w:line="276"/>
              <w:jc w:val="both"/>
            </w:pPr>
            <w:r>
              <w:rPr>
                <w:rFonts w:ascii="Marianne" w:cs="Marianne" w:eastAsia="Marianne" w:hAnsi="Marianne"/>
                <w:color w:val="3A3A3A"/>
                <w:sz w:val="20"/>
                <w:szCs w:val="20"/>
              </w:rPr>
              <w:t xml:space="preserve">Portail de référence pour les agents : plans des bâtiments, services disponibles par site, horaires, accessibilité PMR, transports. Un « portail du quotidien » qui répond aux questions pratiques sans solliciter le standard.</w:t>
            </w:r>
          </w:p>
          <w:p>
            <w:pPr>
              <w:spacing w:before="30" w:after="30" w:line="252"/>
            </w:pPr>
            <w:r>
              <w:rPr>
                <w:rFonts w:ascii="Marianne" w:cs="Marianne" w:eastAsia="Marianne" w:hAnsi="Marianne"/>
                <w:color w:val="3A3A3A"/>
                <w:sz w:val="19"/>
                <w:szCs w:val="19"/>
              </w:rPr>
              <w:t xml:space="preserve">→ Données source : informations immobilières publiques, plans d’étage, horaires des services</w:t>
            </w:r>
          </w:p>
          <w:p>
            <w:pPr>
              <w:spacing w:before="30" w:after="30" w:line="252"/>
            </w:pPr>
            <w:r>
              <w:rPr>
                <w:rFonts w:ascii="Marianne" w:cs="Marianne" w:eastAsia="Marianne" w:hAnsi="Marianne"/>
                <w:color w:val="3A3A3A"/>
                <w:sz w:val="19"/>
                <w:szCs w:val="19"/>
              </w:rPr>
              <w:t xml:space="preserve">→ Aucune donnée de badge ou d’identification</w:t>
            </w:r>
          </w:p>
          <w:p>
            <w:pPr>
              <w:spacing w:before="30" w:after="30" w:line="252"/>
            </w:pPr>
            <w:r>
              <w:rPr>
                <w:rFonts w:ascii="Marianne" w:cs="Marianne" w:eastAsia="Marianne" w:hAnsi="Marianne"/>
                <w:color w:val="3A3A3A"/>
                <w:sz w:val="19"/>
                <w:szCs w:val="19"/>
              </w:rPr>
              <w:t xml:space="preserve">→ Valeur : autonomie des agents, réduction des appels au standard, intégration des nouveaux arrivants</w:t>
            </w:r>
          </w:p>
        </w:tc>
      </w:tr>
    </w:tbl>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6E445A" w:sz="4"/>
              <w:left w:val="single" w:color="EEEEEE" w:sz="1"/>
              <w:bottom w:val="single" w:color="EEEEEE" w:sz="1"/>
              <w:right w:val="single" w:color="EEEEEE" w:sz="1"/>
            </w:tcBorders>
            <w:shd w:fill="FFFFFF" w:val="clear"/>
            <w:tcMar>
              <w:top w:type="dxa" w:w="160"/>
              <w:left w:type="dxa" w:w="240"/>
              <w:bottom w:type="dxa" w:w="160"/>
              <w:right w:type="dxa" w:w="240"/>
            </w:tcMar>
          </w:tcPr>
          <w:p>
            <w:pPr>
              <w:spacing w:after="80"/>
            </w:pPr>
            <w:r>
              <w:rPr>
                <w:rFonts w:ascii="Marianne" w:cs="Marianne" w:eastAsia="Marianne" w:hAnsi="Marianne"/>
                <w:b/>
                <w:bCs/>
                <w:color w:val="6E445A"/>
                <w:sz w:val="23"/>
                <w:szCs w:val="23"/>
              </w:rPr>
              <w:t xml:space="preserve">Calculateur d’empreinte carbone des bâtiments</w:t>
            </w:r>
          </w:p>
          <w:p>
            <w:pPr>
              <w:spacing w:before="40" w:after="80" w:line="276"/>
              <w:jc w:val="both"/>
            </w:pPr>
            <w:r>
              <w:rPr>
                <w:rFonts w:ascii="Marianne" w:cs="Marianne" w:eastAsia="Marianne" w:hAnsi="Marianne"/>
                <w:color w:val="3A3A3A"/>
                <w:sz w:val="20"/>
                <w:szCs w:val="20"/>
              </w:rPr>
              <w:t xml:space="preserve">Visualisation et simulation de l’empreinte énergétique des sites ministériels à partir des données de consommation publiées dans les bilans carbone et les DPE. Comparaison entre sites, tendances annuelles, scénarios de réduction.</w:t>
            </w:r>
          </w:p>
          <w:p>
            <w:pPr>
              <w:spacing w:before="30" w:after="30" w:line="252"/>
            </w:pPr>
            <w:r>
              <w:rPr>
                <w:rFonts w:ascii="Marianne" w:cs="Marianne" w:eastAsia="Marianne" w:hAnsi="Marianne"/>
                <w:color w:val="3A3A3A"/>
                <w:sz w:val="19"/>
                <w:szCs w:val="19"/>
              </w:rPr>
              <w:t xml:space="preserve">→ Données source : bilans carbone publics, diagnostics de performance énergétique, données ADEME</w:t>
            </w:r>
          </w:p>
          <w:p>
            <w:pPr>
              <w:spacing w:before="30" w:after="30" w:line="252"/>
            </w:pPr>
            <w:r>
              <w:rPr>
                <w:rFonts w:ascii="Marianne" w:cs="Marianne" w:eastAsia="Marianne" w:hAnsi="Marianne"/>
                <w:color w:val="3A3A3A"/>
                <w:sz w:val="19"/>
                <w:szCs w:val="19"/>
              </w:rPr>
              <w:t xml:space="preserve">→ Valeur : pilotage de la transition écologique, conformité au décret tertiaire</w:t>
            </w:r>
          </w:p>
        </w:tc>
      </w:tr>
    </w:tbl>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6E445A" w:sz="4"/>
              <w:left w:val="single" w:color="EEEEEE" w:sz="1"/>
              <w:bottom w:val="single" w:color="EEEEEE" w:sz="1"/>
              <w:right w:val="single" w:color="EEEEEE" w:sz="1"/>
            </w:tcBorders>
            <w:shd w:fill="FFFFFF" w:val="clear"/>
            <w:tcMar>
              <w:top w:type="dxa" w:w="160"/>
              <w:left w:type="dxa" w:w="240"/>
              <w:bottom w:type="dxa" w:w="160"/>
              <w:right w:type="dxa" w:w="240"/>
            </w:tcMar>
          </w:tcPr>
          <w:p>
            <w:pPr>
              <w:spacing w:after="80"/>
            </w:pPr>
            <w:r>
              <w:rPr>
                <w:rFonts w:ascii="Marianne" w:cs="Marianne" w:eastAsia="Marianne" w:hAnsi="Marianne"/>
                <w:b/>
                <w:bCs/>
                <w:color w:val="6E445A"/>
                <w:sz w:val="23"/>
                <w:szCs w:val="23"/>
              </w:rPr>
              <w:t xml:space="preserve">Outil de signalement et suivi des interventions</w:t>
            </w:r>
          </w:p>
          <w:p>
            <w:pPr>
              <w:spacing w:before="40" w:after="80" w:line="276"/>
              <w:jc w:val="both"/>
            </w:pPr>
            <w:r>
              <w:rPr>
                <w:rFonts w:ascii="Marianne" w:cs="Marianne" w:eastAsia="Marianne" w:hAnsi="Marianne"/>
                <w:color w:val="3A3A3A"/>
                <w:sz w:val="20"/>
                <w:szCs w:val="20"/>
              </w:rPr>
              <w:t xml:space="preserve">Un agent signale un problème dans un bureau (panne, dégradation, aménagement). L’outil catégorise, route vers le bon service et permet le suivi. Sans donnée personnelle : le signalement porte sur un lieu, pas sur une personne.</w:t>
            </w:r>
          </w:p>
          <w:p>
            <w:pPr>
              <w:spacing w:before="30" w:after="30" w:line="252"/>
            </w:pPr>
            <w:r>
              <w:rPr>
                <w:rFonts w:ascii="Marianne" w:cs="Marianne" w:eastAsia="Marianne" w:hAnsi="Marianne"/>
                <w:color w:val="3A3A3A"/>
                <w:sz w:val="19"/>
                <w:szCs w:val="19"/>
              </w:rPr>
              <w:t xml:space="preserve">→ Pas de connexion au SI technique des bâtiments</w:t>
            </w:r>
          </w:p>
          <w:p>
            <w:pPr>
              <w:spacing w:before="30" w:after="30" w:line="252"/>
            </w:pPr>
            <w:r>
              <w:rPr>
                <w:rFonts w:ascii="Marianne" w:cs="Marianne" w:eastAsia="Marianne" w:hAnsi="Marianne"/>
                <w:color w:val="3A3A3A"/>
                <w:sz w:val="19"/>
                <w:szCs w:val="19"/>
              </w:rPr>
              <w:t xml:space="preserve">→ Données : localisation du signalement (bâtiment, étage, bureau), description, catégorie</w:t>
            </w:r>
          </w:p>
          <w:p>
            <w:pPr>
              <w:spacing w:before="30" w:after="30" w:line="252"/>
            </w:pPr>
            <w:r>
              <w:rPr>
                <w:rFonts w:ascii="Marianne" w:cs="Marianne" w:eastAsia="Marianne" w:hAnsi="Marianne"/>
                <w:color w:val="3A3A3A"/>
                <w:sz w:val="19"/>
                <w:szCs w:val="19"/>
              </w:rPr>
              <w:t xml:space="preserve">→ Valeur : traçabilité, désengorgement du standard technique, historique des interventions par site</w:t>
            </w:r>
          </w:p>
        </w:tc>
      </w:tr>
    </w:tbl>
    <w:p>
      <w:r>
        <w:br w:type="page"/>
      </w:r>
    </w:p>
    <w:p>
      <w:pPr>
        <w:pStyle w:val="Heading1"/>
        <w:spacing w:before="400" w:after="200"/>
      </w:pPr>
      <w:r>
        <w:rPr>
          <w:rFonts w:ascii="Marianne" w:cs="Marianne" w:eastAsia="Marianne" w:hAnsi="Marianne"/>
          <w:b/>
          <w:bCs/>
          <w:color w:val="000091"/>
          <w:sz w:val="32"/>
          <w:szCs w:val="32"/>
        </w:rPr>
        <w:t xml:space="preserve">6. DSI et outillage informatique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000091" w:sz="12"/>
              <w:bottom w:val="none"/>
              <w:right w:val="none"/>
            </w:tcBorders>
            <w:shd w:fill="E3E3FD" w:val="clear"/>
            <w:tcMar>
              <w:top w:type="dxa" w:w="160"/>
              <w:left w:type="dxa" w:w="240"/>
              <w:bottom w:type="dxa" w:w="160"/>
              <w:right w:type="dxa" w:w="240"/>
            </w:tcMar>
          </w:tcPr>
          <w:p>
            <w:pPr>
              <w:spacing w:before="40" w:after="40" w:line="276"/>
            </w:pPr>
            <w:r>
              <w:rPr>
                <w:rFonts w:ascii="Marianne" w:cs="Marianne" w:eastAsia="Marianne" w:hAnsi="Marianne"/>
                <w:b/>
                <w:bCs/>
                <w:color w:val="3A3A3A"/>
                <w:sz w:val="21"/>
                <w:szCs w:val="21"/>
              </w:rPr>
              <w:t xml:space="preserve">Périmètre : outillage périphérique, documentation, interfaces. Aucun accès à l’infrastructure, aux annuaires techniques ou aux données d’authentification.</w:t>
            </w:r>
          </w:p>
        </w:tc>
      </w:tr>
    </w:tbl>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000091" w:sz="4"/>
              <w:left w:val="single" w:color="EEEEEE" w:sz="1"/>
              <w:bottom w:val="single" w:color="EEEEEE" w:sz="1"/>
              <w:right w:val="single" w:color="EEEEEE" w:sz="1"/>
            </w:tcBorders>
            <w:shd w:fill="FFFFFF" w:val="clear"/>
            <w:tcMar>
              <w:top w:type="dxa" w:w="160"/>
              <w:left w:type="dxa" w:w="240"/>
              <w:bottom w:type="dxa" w:w="160"/>
              <w:right w:type="dxa" w:w="240"/>
            </w:tcMar>
          </w:tcPr>
          <w:p>
            <w:pPr>
              <w:spacing w:after="80"/>
            </w:pPr>
            <w:r>
              <w:rPr>
                <w:rFonts w:ascii="Marianne" w:cs="Marianne" w:eastAsia="Marianne" w:hAnsi="Marianne"/>
                <w:b/>
                <w:bCs/>
                <w:color w:val="000091"/>
                <w:sz w:val="23"/>
                <w:szCs w:val="23"/>
              </w:rPr>
              <w:t xml:space="preserve">Catalogue de services IT intelligent</w:t>
            </w:r>
          </w:p>
          <w:p>
            <w:pPr>
              <w:spacing w:before="40" w:after="80" w:line="276"/>
              <w:jc w:val="both"/>
            </w:pPr>
            <w:r>
              <w:rPr>
                <w:rFonts w:ascii="Marianne" w:cs="Marianne" w:eastAsia="Marianne" w:hAnsi="Marianne"/>
                <w:color w:val="3A3A3A"/>
                <w:sz w:val="20"/>
                <w:szCs w:val="20"/>
              </w:rPr>
              <w:t xml:space="preserve">Portail de recherche en langage naturel sur le catalogue des services informatiques. L’agent décrit son besoin (« j’ai besoin d’un outil pour faire des visioconférences à 50 personnes ») et l’IA suggère le service existant ou identifie un besoin non couvert.</w:t>
            </w:r>
          </w:p>
          <w:p>
            <w:pPr>
              <w:spacing w:before="30" w:after="30" w:line="252"/>
            </w:pPr>
            <w:r>
              <w:rPr>
                <w:rFonts w:ascii="Marianne" w:cs="Marianne" w:eastAsia="Marianne" w:hAnsi="Marianne"/>
                <w:color w:val="3A3A3A"/>
                <w:sz w:val="19"/>
                <w:szCs w:val="19"/>
              </w:rPr>
              <w:t xml:space="preserve">→ Données source : catalogue de services publié sur l’intranet (non classifié)</w:t>
            </w:r>
          </w:p>
          <w:p>
            <w:pPr>
              <w:spacing w:before="30" w:after="30" w:line="252"/>
            </w:pPr>
            <w:r>
              <w:rPr>
                <w:rFonts w:ascii="Marianne" w:cs="Marianne" w:eastAsia="Marianne" w:hAnsi="Marianne"/>
                <w:color w:val="3A3A3A"/>
                <w:sz w:val="19"/>
                <w:szCs w:val="19"/>
              </w:rPr>
              <w:t xml:space="preserve">→ Architecture RAG : indexation du catalogue, recherche sémantique</w:t>
            </w:r>
          </w:p>
          <w:p>
            <w:pPr>
              <w:spacing w:before="30" w:after="30" w:line="252"/>
            </w:pPr>
            <w:r>
              <w:rPr>
                <w:rFonts w:ascii="Marianne" w:cs="Marianne" w:eastAsia="Marianne" w:hAnsi="Marianne"/>
                <w:color w:val="3A3A3A"/>
                <w:sz w:val="19"/>
                <w:szCs w:val="19"/>
              </w:rPr>
              <w:t xml:space="preserve">→ Valeur : réduction du shadow IT, meilleure adoption des outils existants</w:t>
            </w:r>
          </w:p>
        </w:tc>
      </w:tr>
    </w:tbl>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000091" w:sz="4"/>
              <w:left w:val="single" w:color="EEEEEE" w:sz="1"/>
              <w:bottom w:val="single" w:color="EEEEEE" w:sz="1"/>
              <w:right w:val="single" w:color="EEEEEE" w:sz="1"/>
            </w:tcBorders>
            <w:shd w:fill="FFFFFF" w:val="clear"/>
            <w:tcMar>
              <w:top w:type="dxa" w:w="160"/>
              <w:left w:type="dxa" w:w="240"/>
              <w:bottom w:type="dxa" w:w="160"/>
              <w:right w:type="dxa" w:w="240"/>
            </w:tcMar>
          </w:tcPr>
          <w:p>
            <w:pPr>
              <w:spacing w:after="80"/>
            </w:pPr>
            <w:r>
              <w:rPr>
                <w:rFonts w:ascii="Marianne" w:cs="Marianne" w:eastAsia="Marianne" w:hAnsi="Marianne"/>
                <w:b/>
                <w:bCs/>
                <w:color w:val="000091"/>
                <w:sz w:val="23"/>
                <w:szCs w:val="23"/>
              </w:rPr>
              <w:t xml:space="preserve">Générateur de documentation technique</w:t>
            </w:r>
          </w:p>
          <w:p>
            <w:pPr>
              <w:spacing w:before="40" w:after="80" w:line="276"/>
              <w:jc w:val="both"/>
            </w:pPr>
            <w:r>
              <w:rPr>
                <w:rFonts w:ascii="Marianne" w:cs="Marianne" w:eastAsia="Marianne" w:hAnsi="Marianne"/>
                <w:color w:val="3A3A3A"/>
                <w:sz w:val="20"/>
                <w:szCs w:val="20"/>
              </w:rPr>
              <w:t xml:space="preserve">Documentation automatisée des API internes non classifiées : l’IA lit une spécification OpenAPI et génère une documentation lisible par des non-techs. Générateur de guides utilisateurs : à partir de captures d’écran, l’IA produit un tutoriel pas-à-pas.</w:t>
            </w:r>
          </w:p>
          <w:p>
            <w:pPr>
              <w:spacing w:before="30" w:after="30" w:line="252"/>
            </w:pPr>
            <w:r>
              <w:rPr>
                <w:rFonts w:ascii="Marianne" w:cs="Marianne" w:eastAsia="Marianne" w:hAnsi="Marianne"/>
                <w:color w:val="3A3A3A"/>
                <w:sz w:val="19"/>
                <w:szCs w:val="19"/>
              </w:rPr>
              <w:t xml:space="preserve">→ Données source : spécifications techniques non classifiées, captures d’écran d’interfaces</w:t>
            </w:r>
          </w:p>
          <w:p>
            <w:pPr>
              <w:spacing w:before="30" w:after="30" w:line="252"/>
            </w:pPr>
            <w:r>
              <w:rPr>
                <w:rFonts w:ascii="Marianne" w:cs="Marianne" w:eastAsia="Marianne" w:hAnsi="Marianne"/>
                <w:color w:val="3A3A3A"/>
                <w:sz w:val="19"/>
                <w:szCs w:val="19"/>
              </w:rPr>
              <w:t xml:space="preserve">→ Valeur : réduction de la dette documentaire, autonomie des équipes métier</w:t>
            </w:r>
          </w:p>
        </w:tc>
      </w:tr>
    </w:tbl>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6A6AF4" w:sz="4"/>
              <w:left w:val="single" w:color="EEEEEE" w:sz="1"/>
              <w:bottom w:val="single" w:color="EEEEEE" w:sz="1"/>
              <w:right w:val="single" w:color="EEEEEE" w:sz="1"/>
            </w:tcBorders>
            <w:shd w:fill="FFFFFF" w:val="clear"/>
            <w:tcMar>
              <w:top w:type="dxa" w:w="160"/>
              <w:left w:type="dxa" w:w="240"/>
              <w:bottom w:type="dxa" w:w="160"/>
              <w:right w:type="dxa" w:w="240"/>
            </w:tcMar>
          </w:tcPr>
          <w:p>
            <w:pPr>
              <w:spacing w:after="80"/>
            </w:pPr>
            <w:r>
              <w:rPr>
                <w:rFonts w:ascii="Marianne" w:cs="Marianne" w:eastAsia="Marianne" w:hAnsi="Marianne"/>
                <w:b/>
                <w:bCs/>
                <w:color w:val="6A6AF4"/>
                <w:sz w:val="23"/>
                <w:szCs w:val="23"/>
              </w:rPr>
              <w:t xml:space="preserve">Élargissement d’Écosystème au périmètre DSI</w:t>
            </w:r>
          </w:p>
          <w:p>
            <w:pPr>
              <w:spacing w:before="40" w:after="80" w:line="276"/>
              <w:jc w:val="both"/>
            </w:pPr>
            <w:r>
              <w:rPr>
                <w:rFonts w:ascii="Marianne" w:cs="Marianne" w:eastAsia="Marianne" w:hAnsi="Marianne"/>
                <w:color w:val="3A3A3A"/>
                <w:sz w:val="20"/>
                <w:szCs w:val="20"/>
              </w:rPr>
              <w:t xml:space="preserve">Écosystème (G3) surveille déjà les sites web ministériels sur 18 critères. Le même outil, étendu au périmètre des applications web publiques de la DSI, fournirait un tableau de bord de la dette technique, de la conformité DSFR et de la performance.</w:t>
            </w:r>
          </w:p>
          <w:p>
            <w:pPr>
              <w:spacing w:before="30" w:after="30" w:line="252"/>
            </w:pPr>
            <w:r>
              <w:rPr>
                <w:rFonts w:ascii="Marianne" w:cs="Marianne" w:eastAsia="Marianne" w:hAnsi="Marianne"/>
                <w:color w:val="3A3A3A"/>
                <w:sz w:val="19"/>
                <w:szCs w:val="19"/>
              </w:rPr>
              <w:t xml:space="preserve">→ Périmètre : applications web accessibles publiquement, pas les SI internes</w:t>
            </w:r>
          </w:p>
          <w:p>
            <w:pPr>
              <w:spacing w:before="30" w:after="30" w:line="252"/>
            </w:pPr>
            <w:r>
              <w:rPr>
                <w:rFonts w:ascii="Marianne" w:cs="Marianne" w:eastAsia="Marianne" w:hAnsi="Marianne"/>
                <w:color w:val="3A3A3A"/>
                <w:sz w:val="19"/>
                <w:szCs w:val="19"/>
              </w:rPr>
              <w:t xml:space="preserve">→ Valeur : vision consolidée de la qualité du parc applicatif web, pilotage par les données</w:t>
            </w:r>
          </w:p>
        </w:tc>
      </w:tr>
    </w:tbl>
    <w:p>
      <w:r>
        <w:br w:type="page"/>
      </w:r>
    </w:p>
    <w:p>
      <w:pPr>
        <w:pStyle w:val="Heading1"/>
        <w:spacing w:before="400" w:after="200"/>
      </w:pPr>
      <w:r>
        <w:rPr>
          <w:rFonts w:ascii="Marianne" w:cs="Marianne" w:eastAsia="Marianne" w:hAnsi="Marianne"/>
          <w:b/>
          <w:bCs/>
          <w:color w:val="000091"/>
          <w:sz w:val="32"/>
          <w:szCs w:val="32"/>
        </w:rPr>
        <w:t xml:space="preserve">7. Coordination interministérielle et pilotage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000091" w:sz="12"/>
              <w:bottom w:val="none"/>
              <w:right w:val="none"/>
            </w:tcBorders>
            <w:shd w:fill="E3E3FD" w:val="clear"/>
            <w:tcMar>
              <w:top w:type="dxa" w:w="160"/>
              <w:left w:type="dxa" w:w="240"/>
              <w:bottom w:type="dxa" w:w="160"/>
              <w:right w:type="dxa" w:w="240"/>
            </w:tcMar>
          </w:tcPr>
          <w:p>
            <w:pPr>
              <w:spacing w:before="40" w:after="40" w:line="276"/>
            </w:pPr>
            <w:r>
              <w:rPr>
                <w:rFonts w:ascii="Marianne" w:cs="Marianne" w:eastAsia="Marianne" w:hAnsi="Marianne"/>
                <w:b/>
                <w:bCs/>
                <w:color w:val="3A3A3A"/>
                <w:sz w:val="21"/>
                <w:szCs w:val="21"/>
              </w:rPr>
              <w:t xml:space="preserve">Périmètre : veille, synthèse et visualisation de données exclusivement publiques (JORF, Légifrance, rapports publiés, indicateurs de performance publique).</w:t>
            </w:r>
          </w:p>
        </w:tc>
      </w:tr>
    </w:tbl>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B34000" w:sz="4"/>
              <w:left w:val="single" w:color="EEEEEE" w:sz="1"/>
              <w:bottom w:val="single" w:color="EEEEEE" w:sz="1"/>
              <w:right w:val="single" w:color="EEEEEE" w:sz="1"/>
            </w:tcBorders>
            <w:shd w:fill="FFFFFF" w:val="clear"/>
            <w:tcMar>
              <w:top w:type="dxa" w:w="160"/>
              <w:left w:type="dxa" w:w="240"/>
              <w:bottom w:type="dxa" w:w="160"/>
              <w:right w:type="dxa" w:w="240"/>
            </w:tcMar>
          </w:tcPr>
          <w:p>
            <w:pPr>
              <w:spacing w:after="80"/>
            </w:pPr>
            <w:r>
              <w:rPr>
                <w:rFonts w:ascii="Marianne" w:cs="Marianne" w:eastAsia="Marianne" w:hAnsi="Marianne"/>
                <w:b/>
                <w:bCs/>
                <w:color w:val="B34000"/>
                <w:sz w:val="23"/>
                <w:szCs w:val="23"/>
              </w:rPr>
              <w:t xml:space="preserve">Agrégateur de veille réglementaire</w:t>
            </w:r>
          </w:p>
          <w:p>
            <w:pPr>
              <w:spacing w:before="40" w:after="80" w:line="276"/>
              <w:jc w:val="both"/>
            </w:pPr>
            <w:r>
              <w:rPr>
                <w:rFonts w:ascii="Marianne" w:cs="Marianne" w:eastAsia="Marianne" w:hAnsi="Marianne"/>
                <w:color w:val="3A3A3A"/>
                <w:sz w:val="20"/>
                <w:szCs w:val="20"/>
              </w:rPr>
              <w:t xml:space="preserve">Surveillance automatisée des textes publiés au Journal officiel et sur Légifrance qui concernent le périmètre du ministère. Résumé IA de chaque texte, catégorisation par thématique, alertes par direction concernée.</w:t>
            </w:r>
          </w:p>
          <w:p>
            <w:pPr>
              <w:spacing w:before="30" w:after="30" w:line="252"/>
            </w:pPr>
            <w:r>
              <w:rPr>
                <w:rFonts w:ascii="Marianne" w:cs="Marianne" w:eastAsia="Marianne" w:hAnsi="Marianne"/>
                <w:color w:val="3A3A3A"/>
                <w:sz w:val="19"/>
                <w:szCs w:val="19"/>
              </w:rPr>
              <w:t xml:space="preserve">→ Données source : API Légifrance (publique), JORF, data.gouv.fr</w:t>
            </w:r>
          </w:p>
          <w:p>
            <w:pPr>
              <w:spacing w:before="30" w:after="30" w:line="252"/>
            </w:pPr>
            <w:r>
              <w:rPr>
                <w:rFonts w:ascii="Marianne" w:cs="Marianne" w:eastAsia="Marianne" w:hAnsi="Marianne"/>
                <w:color w:val="3A3A3A"/>
                <w:sz w:val="19"/>
                <w:szCs w:val="19"/>
              </w:rPr>
              <w:t xml:space="preserve">→ Valeur : ne plus découvrir un décret qui impacte le ministère après sa date d’application</w:t>
            </w:r>
          </w:p>
        </w:tc>
      </w:tr>
    </w:tbl>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B34000" w:sz="4"/>
              <w:left w:val="single" w:color="EEEEEE" w:sz="1"/>
              <w:bottom w:val="single" w:color="EEEEEE" w:sz="1"/>
              <w:right w:val="single" w:color="EEEEEE" w:sz="1"/>
            </w:tcBorders>
            <w:shd w:fill="FFFFFF" w:val="clear"/>
            <w:tcMar>
              <w:top w:type="dxa" w:w="160"/>
              <w:left w:type="dxa" w:w="240"/>
              <w:bottom w:type="dxa" w:w="160"/>
              <w:right w:type="dxa" w:w="240"/>
            </w:tcMar>
          </w:tcPr>
          <w:p>
            <w:pPr>
              <w:spacing w:after="80"/>
            </w:pPr>
            <w:r>
              <w:rPr>
                <w:rFonts w:ascii="Marianne" w:cs="Marianne" w:eastAsia="Marianne" w:hAnsi="Marianne"/>
                <w:b/>
                <w:bCs/>
                <w:color w:val="B34000"/>
                <w:sz w:val="23"/>
                <w:szCs w:val="23"/>
              </w:rPr>
              <w:t xml:space="preserve">Tableau de bord du secrétariat général</w:t>
            </w:r>
          </w:p>
          <w:p>
            <w:pPr>
              <w:spacing w:before="40" w:after="80" w:line="276"/>
              <w:jc w:val="both"/>
            </w:pPr>
            <w:r>
              <w:rPr>
                <w:rFonts w:ascii="Marianne" w:cs="Marianne" w:eastAsia="Marianne" w:hAnsi="Marianne"/>
                <w:color w:val="3A3A3A"/>
                <w:sz w:val="20"/>
                <w:szCs w:val="20"/>
              </w:rPr>
              <w:t xml:space="preserve">Croisement des indicateurs publics du ministère : effectifs (données DGAFP), budget (LOLF), immobilier (France Domaine), numérique (observatoire des démarches en ligne), accessibilité (taux de conformité RGAA publié). Un cockpit de pilotage alimenté exclusivement par des données publiques.</w:t>
            </w:r>
          </w:p>
          <w:p>
            <w:pPr>
              <w:spacing w:before="30" w:after="30" w:line="252"/>
            </w:pPr>
            <w:r>
              <w:rPr>
                <w:rFonts w:ascii="Marianne" w:cs="Marianne" w:eastAsia="Marianne" w:hAnsi="Marianne"/>
                <w:color w:val="3A3A3A"/>
                <w:sz w:val="19"/>
                <w:szCs w:val="19"/>
              </w:rPr>
              <w:t xml:space="preserve">→ Données source : 6+ sources publiques croisées (data.gouv.fr, INSEE, DGAFP, DINUM)</w:t>
            </w:r>
          </w:p>
          <w:p>
            <w:pPr>
              <w:spacing w:before="30" w:after="30" w:line="252"/>
            </w:pPr>
            <w:r>
              <w:rPr>
                <w:rFonts w:ascii="Marianne" w:cs="Marianne" w:eastAsia="Marianne" w:hAnsi="Marianne"/>
                <w:color w:val="3A3A3A"/>
                <w:sz w:val="19"/>
                <w:szCs w:val="19"/>
              </w:rPr>
              <w:t xml:space="preserve">→ Valeur : vision consolidée, indicateurs actualisés automatiquement, plus de tableaux Excel manuels</w:t>
            </w:r>
          </w:p>
        </w:tc>
      </w:tr>
    </w:tbl>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B34000" w:sz="4"/>
              <w:left w:val="single" w:color="EEEEEE" w:sz="1"/>
              <w:bottom w:val="single" w:color="EEEEEE" w:sz="1"/>
              <w:right w:val="single" w:color="EEEEEE" w:sz="1"/>
            </w:tcBorders>
            <w:shd w:fill="FFFFFF" w:val="clear"/>
            <w:tcMar>
              <w:top w:type="dxa" w:w="160"/>
              <w:left w:type="dxa" w:w="240"/>
              <w:bottom w:type="dxa" w:w="160"/>
              <w:right w:type="dxa" w:w="240"/>
            </w:tcMar>
          </w:tcPr>
          <w:p>
            <w:pPr>
              <w:spacing w:after="80"/>
            </w:pPr>
            <w:r>
              <w:rPr>
                <w:rFonts w:ascii="Marianne" w:cs="Marianne" w:eastAsia="Marianne" w:hAnsi="Marianne"/>
                <w:b/>
                <w:bCs/>
                <w:color w:val="B34000"/>
                <w:sz w:val="23"/>
                <w:szCs w:val="23"/>
              </w:rPr>
              <w:t xml:space="preserve">Comparateur de pratiques interministérielles</w:t>
            </w:r>
          </w:p>
          <w:p>
            <w:pPr>
              <w:spacing w:before="40" w:after="80" w:line="276"/>
              <w:jc w:val="both"/>
            </w:pPr>
            <w:r>
              <w:rPr>
                <w:rFonts w:ascii="Marianne" w:cs="Marianne" w:eastAsia="Marianne" w:hAnsi="Marianne"/>
                <w:color w:val="3A3A3A"/>
                <w:sz w:val="20"/>
                <w:szCs w:val="20"/>
              </w:rPr>
              <w:t xml:space="preserve">Benchmark automatisé des pratiques des autres ministères sur les sujets transverses : accessibilité, DSFR, open data, écoconception, qualité web. L’outil scanne les sites et portails publics des autres ministères et produit un tableau comparatif.</w:t>
            </w:r>
          </w:p>
          <w:p>
            <w:pPr>
              <w:spacing w:before="30" w:after="30" w:line="252"/>
            </w:pPr>
            <w:r>
              <w:rPr>
                <w:rFonts w:ascii="Marianne" w:cs="Marianne" w:eastAsia="Marianne" w:hAnsi="Marianne"/>
                <w:color w:val="3A3A3A"/>
                <w:sz w:val="19"/>
                <w:szCs w:val="19"/>
              </w:rPr>
              <w:t xml:space="preserve">→ Périmètre : sites web publics uniquement, aucune donnée interne</w:t>
            </w:r>
          </w:p>
          <w:p>
            <w:pPr>
              <w:spacing w:before="30" w:after="30" w:line="252"/>
            </w:pPr>
            <w:r>
              <w:rPr>
                <w:rFonts w:ascii="Marianne" w:cs="Marianne" w:eastAsia="Marianne" w:hAnsi="Marianne"/>
                <w:color w:val="3A3A3A"/>
                <w:sz w:val="19"/>
                <w:szCs w:val="19"/>
              </w:rPr>
              <w:t xml:space="preserve">→ Extension naturelle d’Écosystème (G3) au périmètre interministériel</w:t>
            </w:r>
          </w:p>
          <w:p>
            <w:pPr>
              <w:spacing w:before="30" w:after="30" w:line="252"/>
            </w:pPr>
            <w:r>
              <w:rPr>
                <w:rFonts w:ascii="Marianne" w:cs="Marianne" w:eastAsia="Marianne" w:hAnsi="Marianne"/>
                <w:color w:val="3A3A3A"/>
                <w:sz w:val="19"/>
                <w:szCs w:val="19"/>
              </w:rPr>
              <w:t xml:space="preserve">→ Valeur : se positionner, identifier les bonnes pratiques, nourrir la coordination</w:t>
            </w:r>
          </w:p>
        </w:tc>
      </w:tr>
    </w:tbl>
    <w:p>
      <w:r>
        <w:br w:type="page"/>
      </w:r>
    </w:p>
    <w:p>
      <w:pPr>
        <w:pStyle w:val="Heading1"/>
        <w:spacing w:before="400" w:after="200"/>
      </w:pPr>
      <w:r>
        <w:rPr>
          <w:rFonts w:ascii="Marianne" w:cs="Marianne" w:eastAsia="Marianne" w:hAnsi="Marianne"/>
          <w:b/>
          <w:bCs/>
          <w:color w:val="000091"/>
          <w:sz w:val="32"/>
          <w:szCs w:val="32"/>
        </w:rPr>
        <w:t xml:space="preserve">8. Formation et montée en compétences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000091" w:sz="4"/>
              <w:left w:val="single" w:color="EEEEEE" w:sz="1"/>
              <w:bottom w:val="single" w:color="EEEEEE" w:sz="1"/>
              <w:right w:val="single" w:color="EEEEEE" w:sz="1"/>
            </w:tcBorders>
            <w:shd w:fill="FFFFFF" w:val="clear"/>
            <w:tcMar>
              <w:top w:type="dxa" w:w="160"/>
              <w:left w:type="dxa" w:w="240"/>
              <w:bottom w:type="dxa" w:w="160"/>
              <w:right w:type="dxa" w:w="240"/>
            </w:tcMar>
          </w:tcPr>
          <w:p>
            <w:pPr>
              <w:spacing w:after="80"/>
            </w:pPr>
            <w:r>
              <w:rPr>
                <w:rFonts w:ascii="Marianne" w:cs="Marianne" w:eastAsia="Marianne" w:hAnsi="Marianne"/>
                <w:b/>
                <w:bCs/>
                <w:color w:val="000091"/>
                <w:sz w:val="23"/>
                <w:szCs w:val="23"/>
              </w:rPr>
              <w:t xml:space="preserve">Plateforme de micro-learning généré par IA</w:t>
            </w:r>
          </w:p>
          <w:p>
            <w:pPr>
              <w:spacing w:before="40" w:after="80" w:line="276"/>
              <w:jc w:val="both"/>
            </w:pPr>
            <w:r>
              <w:rPr>
                <w:rFonts w:ascii="Marianne" w:cs="Marianne" w:eastAsia="Marianne" w:hAnsi="Marianne"/>
                <w:color w:val="3A3A3A"/>
                <w:sz w:val="20"/>
                <w:szCs w:val="20"/>
              </w:rPr>
              <w:t xml:space="preserve">À partir d’une circulaire, d’une note de service ou d’un guide pratique, l’IA produit automatiquement un parcours de formation : quiz interactif, fiches mémo, cas pratiques. Déjà expérimenté avec succès sur les formations accessibilité RGAA.</w:t>
            </w:r>
          </w:p>
          <w:p>
            <w:pPr>
              <w:spacing w:before="30" w:after="30" w:line="252"/>
            </w:pPr>
            <w:r>
              <w:rPr>
                <w:rFonts w:ascii="Marianne" w:cs="Marianne" w:eastAsia="Marianne" w:hAnsi="Marianne"/>
                <w:color w:val="3A3A3A"/>
                <w:sz w:val="19"/>
                <w:szCs w:val="19"/>
              </w:rPr>
              <w:t xml:space="preserve">→ Données source : documents internes non classifiés (circulaires, guides, notes de service)</w:t>
            </w:r>
          </w:p>
          <w:p>
            <w:pPr>
              <w:spacing w:before="30" w:after="30" w:line="252"/>
            </w:pPr>
            <w:r>
              <w:rPr>
                <w:rFonts w:ascii="Marianne" w:cs="Marianne" w:eastAsia="Marianne" w:hAnsi="Marianne"/>
                <w:color w:val="3A3A3A"/>
                <w:sz w:val="19"/>
                <w:szCs w:val="19"/>
              </w:rPr>
              <w:t xml:space="preserve">→ Valeur : formation au fil de l’eau, sans mobiliser de formateur pour les sujets procéduraux</w:t>
            </w:r>
          </w:p>
        </w:tc>
      </w:tr>
    </w:tbl>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000091" w:sz="4"/>
              <w:left w:val="single" w:color="EEEEEE" w:sz="1"/>
              <w:bottom w:val="single" w:color="EEEEEE" w:sz="1"/>
              <w:right w:val="single" w:color="EEEEEE" w:sz="1"/>
            </w:tcBorders>
            <w:shd w:fill="FFFFFF" w:val="clear"/>
            <w:tcMar>
              <w:top w:type="dxa" w:w="160"/>
              <w:left w:type="dxa" w:w="240"/>
              <w:bottom w:type="dxa" w:w="160"/>
              <w:right w:type="dxa" w:w="240"/>
            </w:tcMar>
          </w:tcPr>
          <w:p>
            <w:pPr>
              <w:spacing w:after="80"/>
            </w:pPr>
            <w:r>
              <w:rPr>
                <w:rFonts w:ascii="Marianne" w:cs="Marianne" w:eastAsia="Marianne" w:hAnsi="Marianne"/>
                <w:b/>
                <w:bCs/>
                <w:color w:val="000091"/>
                <w:sz w:val="23"/>
                <w:szCs w:val="23"/>
              </w:rPr>
              <w:t xml:space="preserve">Base de connaissance intelligente</w:t>
            </w:r>
          </w:p>
          <w:p>
            <w:pPr>
              <w:spacing w:before="40" w:after="80" w:line="276"/>
              <w:jc w:val="both"/>
            </w:pPr>
            <w:r>
              <w:rPr>
                <w:rFonts w:ascii="Marianne" w:cs="Marianne" w:eastAsia="Marianne" w:hAnsi="Marianne"/>
                <w:color w:val="3A3A3A"/>
                <w:sz w:val="20"/>
                <w:szCs w:val="20"/>
              </w:rPr>
              <w:t xml:space="preserve">Recherche en langage naturel sur l’ensemble des procédures du secrétariat général. L’agent pose une question, l’IA retrouve la procédure pertinente, la résume et cite ses sources. Même architecture que le chatbot RH, appliquée à un périmètre plus large.</w:t>
            </w:r>
          </w:p>
          <w:p>
            <w:pPr>
              <w:spacing w:before="30" w:after="30" w:line="252"/>
            </w:pPr>
            <w:r>
              <w:rPr>
                <w:rFonts w:ascii="Marianne" w:cs="Marianne" w:eastAsia="Marianne" w:hAnsi="Marianne"/>
                <w:color w:val="3A3A3A"/>
                <w:sz w:val="19"/>
                <w:szCs w:val="19"/>
              </w:rPr>
              <w:t xml:space="preserve">→ Architecture RAG : indexation de la documentation interne non classifiée</w:t>
            </w:r>
          </w:p>
          <w:p>
            <w:pPr>
              <w:spacing w:before="30" w:after="30" w:line="252"/>
            </w:pPr>
            <w:r>
              <w:rPr>
                <w:rFonts w:ascii="Marianne" w:cs="Marianne" w:eastAsia="Marianne" w:hAnsi="Marianne"/>
                <w:color w:val="3A3A3A"/>
                <w:sz w:val="19"/>
                <w:szCs w:val="19"/>
              </w:rPr>
              <w:t xml:space="preserve">→ Valeur : réduire le temps de recherche d’information, capitaliser les connaissances</w:t>
            </w:r>
          </w:p>
        </w:tc>
      </w:tr>
    </w:tbl>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6A6AF4" w:sz="4"/>
              <w:left w:val="single" w:color="EEEEEE" w:sz="1"/>
              <w:bottom w:val="single" w:color="EEEEEE" w:sz="1"/>
              <w:right w:val="single" w:color="EEEEEE" w:sz="1"/>
            </w:tcBorders>
            <w:shd w:fill="FFFFFF" w:val="clear"/>
            <w:tcMar>
              <w:top w:type="dxa" w:w="160"/>
              <w:left w:type="dxa" w:w="240"/>
              <w:bottom w:type="dxa" w:w="160"/>
              <w:right w:type="dxa" w:w="240"/>
            </w:tcMar>
          </w:tcPr>
          <w:p>
            <w:pPr>
              <w:spacing w:after="80"/>
            </w:pPr>
            <w:r>
              <w:rPr>
                <w:rFonts w:ascii="Marianne" w:cs="Marianne" w:eastAsia="Marianne" w:hAnsi="Marianne"/>
                <w:b/>
                <w:bCs/>
                <w:color w:val="6A6AF4"/>
                <w:sz w:val="23"/>
                <w:szCs w:val="23"/>
              </w:rPr>
              <w:t xml:space="preserve">Auto-évaluation des compétences numériques</w:t>
            </w:r>
          </w:p>
          <w:p>
            <w:pPr>
              <w:spacing w:before="40" w:after="80" w:line="276"/>
              <w:jc w:val="both"/>
            </w:pPr>
            <w:r>
              <w:rPr>
                <w:rFonts w:ascii="Marianne" w:cs="Marianne" w:eastAsia="Marianne" w:hAnsi="Marianne"/>
                <w:color w:val="3A3A3A"/>
                <w:sz w:val="20"/>
                <w:szCs w:val="20"/>
              </w:rPr>
              <w:t xml:space="preserve">Questionnaire interactif permettant à chaque agent d’évaluer ses compétences numériques, avec recommandations de formation personnalisées. Aucune donnée nominative stockée : le résultat est affiché à l’écran, pas enregistré.</w:t>
            </w:r>
          </w:p>
          <w:p>
            <w:pPr>
              <w:spacing w:before="30" w:after="30" w:line="252"/>
            </w:pPr>
            <w:r>
              <w:rPr>
                <w:rFonts w:ascii="Marianne" w:cs="Marianne" w:eastAsia="Marianne" w:hAnsi="Marianne"/>
                <w:color w:val="3A3A3A"/>
                <w:sz w:val="19"/>
                <w:szCs w:val="19"/>
              </w:rPr>
              <w:t xml:space="preserve">→ Référentiel : cadre européen DigComp (public), référentiel PIX</w:t>
            </w:r>
          </w:p>
          <w:p>
            <w:pPr>
              <w:spacing w:before="30" w:after="30" w:line="252"/>
            </w:pPr>
            <w:r>
              <w:rPr>
                <w:rFonts w:ascii="Marianne" w:cs="Marianne" w:eastAsia="Marianne" w:hAnsi="Marianne"/>
                <w:color w:val="3A3A3A"/>
                <w:sz w:val="19"/>
                <w:szCs w:val="19"/>
              </w:rPr>
              <w:t xml:space="preserve">→ Valeur : diagnostic individuel immédiat, orientation vers les formations IGPDE existantes</w:t>
            </w:r>
          </w:p>
        </w:tc>
      </w:tr>
    </w:tbl>
    <w:p>
      <w:r>
        <w:br w:type="page"/>
      </w:r>
    </w:p>
    <w:p>
      <w:pPr>
        <w:pStyle w:val="Heading1"/>
        <w:spacing w:before="400" w:after="200"/>
      </w:pPr>
      <w:r>
        <w:rPr>
          <w:rFonts w:ascii="Marianne" w:cs="Marianne" w:eastAsia="Marianne" w:hAnsi="Marianne"/>
          <w:b/>
          <w:bCs/>
          <w:color w:val="000091"/>
          <w:sz w:val="32"/>
          <w:szCs w:val="32"/>
        </w:rPr>
        <w:t xml:space="preserve">9. Synthèse des cas d’usage</w:t>
      </w:r>
    </w:p>
    <w:p>
      <w:pPr>
        <w:spacing w:before="80" w:after="80" w:line="276"/>
        <w:jc w:val="both"/>
      </w:pPr>
      <w:r>
        <w:rPr>
          <w:rFonts w:ascii="Marianne" w:cs="Marianne" w:eastAsia="Marianne" w:hAnsi="Marianne"/>
          <w:color w:val="3A3A3A"/>
          <w:sz w:val="21"/>
          <w:szCs w:val="21"/>
        </w:rPr>
        <w:t xml:space="preserve">Le tableau ci-dessous récapitule les cas d’usage identifiés, leur source de données et leur positionnement par rapport à BercyHub.</w:t>
      </w:r>
    </w:p>
    <w:p>
      <w:pPr>
        <w:spacing w:before="8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75"/>
        <w:gridCol w:w="2888"/>
        <w:gridCol w:w="2256"/>
        <w:gridCol w:w="1807"/>
      </w:tblGrid>
      <w:tr>
        <w:tc>
          <w:tcPr>
            <w:tcW w:type="dxa" w:w="2075"/>
            <w:tcBorders>
              <w:top w:val="single" w:color="DDDDDD" w:sz="1"/>
              <w:left w:val="single" w:color="DDDDDD" w:sz="1"/>
              <w:bottom w:val="single" w:color="DDDDDD" w:sz="1"/>
              <w:right w:val="single" w:color="DDDDDD" w:sz="1"/>
            </w:tcBorders>
            <w:shd w:fill="000091" w:val="clear"/>
            <w:tcMar>
              <w:top w:type="dxa" w:w="80"/>
              <w:left w:type="dxa" w:w="100"/>
              <w:bottom w:type="dxa" w:w="80"/>
              <w:right w:type="dxa" w:w="100"/>
            </w:tcMar>
          </w:tcPr>
          <w:p>
            <w:r>
              <w:rPr>
                <w:rFonts w:ascii="Marianne" w:cs="Marianne" w:eastAsia="Marianne" w:hAnsi="Marianne"/>
                <w:b/>
                <w:bCs/>
                <w:color w:val="FFFFFF"/>
                <w:sz w:val="18"/>
                <w:szCs w:val="18"/>
              </w:rPr>
              <w:t xml:space="preserve">Cas d’usage</w:t>
            </w:r>
          </w:p>
        </w:tc>
        <w:tc>
          <w:tcPr>
            <w:tcW w:type="dxa" w:w="2888"/>
            <w:tcBorders>
              <w:top w:val="single" w:color="DDDDDD" w:sz="1"/>
              <w:left w:val="single" w:color="DDDDDD" w:sz="1"/>
              <w:bottom w:val="single" w:color="DDDDDD" w:sz="1"/>
              <w:right w:val="single" w:color="DDDDDD" w:sz="1"/>
            </w:tcBorders>
            <w:shd w:fill="000091" w:val="clear"/>
            <w:tcMar>
              <w:top w:type="dxa" w:w="80"/>
              <w:left w:type="dxa" w:w="100"/>
              <w:bottom w:type="dxa" w:w="80"/>
              <w:right w:type="dxa" w:w="100"/>
            </w:tcMar>
          </w:tcPr>
          <w:p>
            <w:r>
              <w:rPr>
                <w:rFonts w:ascii="Marianne" w:cs="Marianne" w:eastAsia="Marianne" w:hAnsi="Marianne"/>
                <w:b/>
                <w:bCs/>
                <w:color w:val="FFFFFF"/>
                <w:sz w:val="18"/>
                <w:szCs w:val="18"/>
              </w:rPr>
              <w:t xml:space="preserve">Source de données</w:t>
            </w:r>
          </w:p>
        </w:tc>
        <w:tc>
          <w:tcPr>
            <w:tcW w:type="dxa" w:w="2256"/>
            <w:tcBorders>
              <w:top w:val="single" w:color="DDDDDD" w:sz="1"/>
              <w:left w:val="single" w:color="DDDDDD" w:sz="1"/>
              <w:bottom w:val="single" w:color="DDDDDD" w:sz="1"/>
              <w:right w:val="single" w:color="DDDDDD" w:sz="1"/>
            </w:tcBorders>
            <w:shd w:fill="000091" w:val="clear"/>
            <w:tcMar>
              <w:top w:type="dxa" w:w="80"/>
              <w:left w:type="dxa" w:w="100"/>
              <w:bottom w:type="dxa" w:w="80"/>
              <w:right w:type="dxa" w:w="100"/>
            </w:tcMar>
          </w:tcPr>
          <w:p>
            <w:r>
              <w:rPr>
                <w:rFonts w:ascii="Marianne" w:cs="Marianne" w:eastAsia="Marianne" w:hAnsi="Marianne"/>
                <w:b/>
                <w:bCs/>
                <w:color w:val="FFFFFF"/>
                <w:sz w:val="18"/>
                <w:szCs w:val="18"/>
              </w:rPr>
              <w:t xml:space="preserve">Nature des données</w:t>
            </w:r>
          </w:p>
        </w:tc>
        <w:tc>
          <w:tcPr>
            <w:tcW w:type="dxa" w:w="1807"/>
            <w:tcBorders>
              <w:top w:val="single" w:color="DDDDDD" w:sz="1"/>
              <w:left w:val="single" w:color="DDDDDD" w:sz="1"/>
              <w:bottom w:val="single" w:color="DDDDDD" w:sz="1"/>
              <w:right w:val="single" w:color="DDDDDD" w:sz="1"/>
            </w:tcBorders>
            <w:shd w:fill="000091" w:val="clear"/>
            <w:tcMar>
              <w:top w:type="dxa" w:w="80"/>
              <w:left w:type="dxa" w:w="100"/>
              <w:bottom w:type="dxa" w:w="80"/>
              <w:right w:type="dxa" w:w="100"/>
            </w:tcMar>
          </w:tcPr>
          <w:p>
            <w:r>
              <w:rPr>
                <w:rFonts w:ascii="Marianne" w:cs="Marianne" w:eastAsia="Marianne" w:hAnsi="Marianne"/>
                <w:b/>
                <w:bCs/>
                <w:color w:val="FFFFFF"/>
                <w:sz w:val="18"/>
                <w:szCs w:val="18"/>
              </w:rPr>
              <w:t xml:space="preserve">Qui</w:t>
            </w:r>
          </w:p>
        </w:tc>
      </w:tr>
      <w:tr>
        <w:tc>
          <w:tcPr>
            <w:tcW w:type="dxa" w:w="2075"/>
            <w:tcBorders>
              <w:top w:val="single" w:color="DDDDDD" w:sz="1"/>
              <w:left w:val="single" w:color="DDDDDD" w:sz="1"/>
              <w:bottom w:val="single" w:color="DDDDDD" w:sz="1"/>
              <w:right w:val="single" w:color="DDDDDD" w:sz="1"/>
            </w:tcBorders>
            <w:shd w:fill="F6F6F6" w:val="clear"/>
            <w:tcMar>
              <w:top w:type="dxa" w:w="60"/>
              <w:left w:type="dxa" w:w="100"/>
              <w:bottom w:type="dxa" w:w="60"/>
              <w:right w:type="dxa" w:w="100"/>
            </w:tcMar>
          </w:tcPr>
          <w:p>
            <w:pPr>
              <w:spacing w:line="240"/>
            </w:pPr>
            <w:r>
              <w:rPr>
                <w:rFonts w:ascii="Marianne" w:cs="Marianne" w:eastAsia="Marianne" w:hAnsi="Marianne"/>
                <w:color w:val="3A3A3A"/>
                <w:sz w:val="17"/>
                <w:szCs w:val="17"/>
              </w:rPr>
              <w:t xml:space="preserve">Simulateur de carrière</w:t>
            </w:r>
          </w:p>
        </w:tc>
        <w:tc>
          <w:tcPr>
            <w:tcW w:type="dxa" w:w="2888"/>
            <w:tcBorders>
              <w:top w:val="single" w:color="DDDDDD" w:sz="1"/>
              <w:left w:val="single" w:color="DDDDDD" w:sz="1"/>
              <w:bottom w:val="single" w:color="DDDDDD" w:sz="1"/>
              <w:right w:val="single" w:color="DDDDDD" w:sz="1"/>
            </w:tcBorders>
            <w:shd w:fill="F6F6F6" w:val="clear"/>
            <w:tcMar>
              <w:top w:type="dxa" w:w="60"/>
              <w:left w:type="dxa" w:w="100"/>
              <w:bottom w:type="dxa" w:w="60"/>
              <w:right w:type="dxa" w:w="100"/>
            </w:tcMar>
          </w:tcPr>
          <w:p>
            <w:pPr>
              <w:spacing w:line="240"/>
            </w:pPr>
            <w:r>
              <w:rPr>
                <w:rFonts w:ascii="Marianne" w:cs="Marianne" w:eastAsia="Marianne" w:hAnsi="Marianne"/>
                <w:color w:val="3A3A3A"/>
                <w:sz w:val="17"/>
                <w:szCs w:val="17"/>
              </w:rPr>
              <w:t xml:space="preserve">Grilles indiciaires (JO)</w:t>
            </w:r>
          </w:p>
        </w:tc>
        <w:tc>
          <w:tcPr>
            <w:tcW w:type="dxa" w:w="2256"/>
            <w:tcBorders>
              <w:top w:val="single" w:color="DDDDDD" w:sz="1"/>
              <w:left w:val="single" w:color="DDDDDD" w:sz="1"/>
              <w:bottom w:val="single" w:color="DDDDDD" w:sz="1"/>
              <w:right w:val="single" w:color="DDDDDD" w:sz="1"/>
            </w:tcBorders>
            <w:shd w:fill="F6F6F6" w:val="clear"/>
            <w:tcMar>
              <w:top w:type="dxa" w:w="60"/>
              <w:left w:type="dxa" w:w="100"/>
              <w:bottom w:type="dxa" w:w="60"/>
              <w:right w:type="dxa" w:w="100"/>
            </w:tcMar>
          </w:tcPr>
          <w:p>
            <w:pPr>
              <w:spacing w:line="240"/>
            </w:pPr>
            <w:r>
              <w:rPr>
                <w:rFonts w:ascii="Marianne" w:cs="Marianne" w:eastAsia="Marianne" w:hAnsi="Marianne"/>
                <w:color w:val="3A3A3A"/>
                <w:sz w:val="17"/>
                <w:szCs w:val="17"/>
              </w:rPr>
              <w:t xml:space="preserve">Données publiques</w:t>
            </w:r>
          </w:p>
        </w:tc>
        <w:tc>
          <w:tcPr>
            <w:tcW w:type="dxa" w:w="1807"/>
            <w:tcBorders>
              <w:top w:val="single" w:color="DDDDDD" w:sz="1"/>
              <w:left w:val="single" w:color="DDDDDD" w:sz="1"/>
              <w:bottom w:val="single" w:color="DDDDDD" w:sz="1"/>
              <w:right w:val="single" w:color="DDDDDD" w:sz="1"/>
            </w:tcBorders>
            <w:shd w:fill="F6F6F6" w:val="clear"/>
            <w:tcMar>
              <w:top w:type="dxa" w:w="60"/>
              <w:left w:type="dxa" w:w="100"/>
              <w:bottom w:type="dxa" w:w="60"/>
              <w:right w:type="dxa" w:w="100"/>
            </w:tcMar>
          </w:tcPr>
          <w:p>
            <w:pPr>
              <w:spacing w:line="240"/>
            </w:pPr>
            <w:r>
              <w:rPr>
                <w:rFonts w:ascii="Marianne" w:cs="Marianne" w:eastAsia="Marianne" w:hAnsi="Marianne"/>
                <w:color w:val="3A3A3A"/>
                <w:sz w:val="17"/>
                <w:szCs w:val="17"/>
              </w:rPr>
              <w:t xml:space="preserve">Vibe Lab</w:t>
            </w:r>
          </w:p>
        </w:tc>
      </w:tr>
      <w:tr>
        <w:tc>
          <w:tcPr>
            <w:tcW w:type="dxa" w:w="2075"/>
            <w:tcBorders>
              <w:top w:val="single" w:color="DDDDDD" w:sz="1"/>
              <w:left w:val="single" w:color="DDDDDD" w:sz="1"/>
              <w:bottom w:val="single" w:color="DDDDDD" w:sz="1"/>
              <w:right w:val="single" w:color="DDDDDD" w:sz="1"/>
            </w:tcBorders>
            <w:tcMar>
              <w:top w:type="dxa" w:w="60"/>
              <w:left w:type="dxa" w:w="100"/>
              <w:bottom w:type="dxa" w:w="60"/>
              <w:right w:type="dxa" w:w="100"/>
            </w:tcMar>
          </w:tcPr>
          <w:p>
            <w:pPr>
              <w:spacing w:line="240"/>
            </w:pPr>
            <w:r>
              <w:rPr>
                <w:rFonts w:ascii="Marianne" w:cs="Marianne" w:eastAsia="Marianne" w:hAnsi="Marianne"/>
                <w:color w:val="3A3A3A"/>
                <w:sz w:val="17"/>
                <w:szCs w:val="17"/>
              </w:rPr>
              <w:t xml:space="preserve">Générateur fiches de poste</w:t>
            </w:r>
          </w:p>
        </w:tc>
        <w:tc>
          <w:tcPr>
            <w:tcW w:type="dxa" w:w="2888"/>
            <w:tcBorders>
              <w:top w:val="single" w:color="DDDDDD" w:sz="1"/>
              <w:left w:val="single" w:color="DDDDDD" w:sz="1"/>
              <w:bottom w:val="single" w:color="DDDDDD" w:sz="1"/>
              <w:right w:val="single" w:color="DDDDDD" w:sz="1"/>
            </w:tcBorders>
            <w:tcMar>
              <w:top w:type="dxa" w:w="60"/>
              <w:left w:type="dxa" w:w="100"/>
              <w:bottom w:type="dxa" w:w="60"/>
              <w:right w:type="dxa" w:w="100"/>
            </w:tcMar>
          </w:tcPr>
          <w:p>
            <w:pPr>
              <w:spacing w:line="240"/>
            </w:pPr>
            <w:r>
              <w:rPr>
                <w:rFonts w:ascii="Marianne" w:cs="Marianne" w:eastAsia="Marianne" w:hAnsi="Marianne"/>
                <w:color w:val="3A3A3A"/>
                <w:sz w:val="17"/>
                <w:szCs w:val="17"/>
              </w:rPr>
              <w:t xml:space="preserve">RIME, DGAFP</w:t>
            </w:r>
          </w:p>
        </w:tc>
        <w:tc>
          <w:tcPr>
            <w:tcW w:type="dxa" w:w="2256"/>
            <w:tcBorders>
              <w:top w:val="single" w:color="DDDDDD" w:sz="1"/>
              <w:left w:val="single" w:color="DDDDDD" w:sz="1"/>
              <w:bottom w:val="single" w:color="DDDDDD" w:sz="1"/>
              <w:right w:val="single" w:color="DDDDDD" w:sz="1"/>
            </w:tcBorders>
            <w:tcMar>
              <w:top w:type="dxa" w:w="60"/>
              <w:left w:type="dxa" w:w="100"/>
              <w:bottom w:type="dxa" w:w="60"/>
              <w:right w:type="dxa" w:w="100"/>
            </w:tcMar>
          </w:tcPr>
          <w:p>
            <w:pPr>
              <w:spacing w:line="240"/>
            </w:pPr>
            <w:r>
              <w:rPr>
                <w:rFonts w:ascii="Marianne" w:cs="Marianne" w:eastAsia="Marianne" w:hAnsi="Marianne"/>
                <w:color w:val="3A3A3A"/>
                <w:sz w:val="17"/>
                <w:szCs w:val="17"/>
              </w:rPr>
              <w:t xml:space="preserve">Référentiels publics</w:t>
            </w:r>
          </w:p>
        </w:tc>
        <w:tc>
          <w:tcPr>
            <w:tcW w:type="dxa" w:w="1807"/>
            <w:tcBorders>
              <w:top w:val="single" w:color="DDDDDD" w:sz="1"/>
              <w:left w:val="single" w:color="DDDDDD" w:sz="1"/>
              <w:bottom w:val="single" w:color="DDDDDD" w:sz="1"/>
              <w:right w:val="single" w:color="DDDDDD" w:sz="1"/>
            </w:tcBorders>
            <w:tcMar>
              <w:top w:type="dxa" w:w="60"/>
              <w:left w:type="dxa" w:w="100"/>
              <w:bottom w:type="dxa" w:w="60"/>
              <w:right w:type="dxa" w:w="100"/>
            </w:tcMar>
          </w:tcPr>
          <w:p>
            <w:pPr>
              <w:spacing w:line="240"/>
            </w:pPr>
            <w:r>
              <w:rPr>
                <w:rFonts w:ascii="Marianne" w:cs="Marianne" w:eastAsia="Marianne" w:hAnsi="Marianne"/>
                <w:color w:val="3A3A3A"/>
                <w:sz w:val="17"/>
                <w:szCs w:val="17"/>
              </w:rPr>
              <w:t xml:space="preserve">Vibe Lab</w:t>
            </w:r>
          </w:p>
        </w:tc>
      </w:tr>
      <w:tr>
        <w:tc>
          <w:tcPr>
            <w:tcW w:type="dxa" w:w="2075"/>
            <w:tcBorders>
              <w:top w:val="single" w:color="DDDDDD" w:sz="1"/>
              <w:left w:val="single" w:color="DDDDDD" w:sz="1"/>
              <w:bottom w:val="single" w:color="DDDDDD" w:sz="1"/>
              <w:right w:val="single" w:color="DDDDDD" w:sz="1"/>
            </w:tcBorders>
            <w:shd w:fill="F6F6F6" w:val="clear"/>
            <w:tcMar>
              <w:top w:type="dxa" w:w="60"/>
              <w:left w:type="dxa" w:w="100"/>
              <w:bottom w:type="dxa" w:w="60"/>
              <w:right w:type="dxa" w:w="100"/>
            </w:tcMar>
          </w:tcPr>
          <w:p>
            <w:pPr>
              <w:spacing w:line="240"/>
            </w:pPr>
            <w:r>
              <w:rPr>
                <w:rFonts w:ascii="Marianne" w:cs="Marianne" w:eastAsia="Marianne" w:hAnsi="Marianne"/>
                <w:color w:val="3A3A3A"/>
                <w:sz w:val="17"/>
                <w:szCs w:val="17"/>
              </w:rPr>
              <w:t xml:space="preserve">Analyse enquêtes RH</w:t>
            </w:r>
          </w:p>
        </w:tc>
        <w:tc>
          <w:tcPr>
            <w:tcW w:type="dxa" w:w="2888"/>
            <w:tcBorders>
              <w:top w:val="single" w:color="DDDDDD" w:sz="1"/>
              <w:left w:val="single" w:color="DDDDDD" w:sz="1"/>
              <w:bottom w:val="single" w:color="DDDDDD" w:sz="1"/>
              <w:right w:val="single" w:color="DDDDDD" w:sz="1"/>
            </w:tcBorders>
            <w:shd w:fill="F6F6F6" w:val="clear"/>
            <w:tcMar>
              <w:top w:type="dxa" w:w="60"/>
              <w:left w:type="dxa" w:w="100"/>
              <w:bottom w:type="dxa" w:w="60"/>
              <w:right w:type="dxa" w:w="100"/>
            </w:tcMar>
          </w:tcPr>
          <w:p>
            <w:pPr>
              <w:spacing w:line="240"/>
            </w:pPr>
            <w:r>
              <w:rPr>
                <w:rFonts w:ascii="Marianne" w:cs="Marianne" w:eastAsia="Marianne" w:hAnsi="Marianne"/>
                <w:color w:val="3A3A3A"/>
                <w:sz w:val="17"/>
                <w:szCs w:val="17"/>
              </w:rPr>
              <w:t xml:space="preserve">Verbatims anonymisés</w:t>
            </w:r>
          </w:p>
        </w:tc>
        <w:tc>
          <w:tcPr>
            <w:tcW w:type="dxa" w:w="2256"/>
            <w:tcBorders>
              <w:top w:val="single" w:color="DDDDDD" w:sz="1"/>
              <w:left w:val="single" w:color="DDDDDD" w:sz="1"/>
              <w:bottom w:val="single" w:color="DDDDDD" w:sz="1"/>
              <w:right w:val="single" w:color="DDDDDD" w:sz="1"/>
            </w:tcBorders>
            <w:shd w:fill="F6F6F6" w:val="clear"/>
            <w:tcMar>
              <w:top w:type="dxa" w:w="60"/>
              <w:left w:type="dxa" w:w="100"/>
              <w:bottom w:type="dxa" w:w="60"/>
              <w:right w:type="dxa" w:w="100"/>
            </w:tcMar>
          </w:tcPr>
          <w:p>
            <w:pPr>
              <w:spacing w:line="240"/>
            </w:pPr>
            <w:r>
              <w:rPr>
                <w:rFonts w:ascii="Marianne" w:cs="Marianne" w:eastAsia="Marianne" w:hAnsi="Marianne"/>
                <w:color w:val="3A3A3A"/>
                <w:sz w:val="17"/>
                <w:szCs w:val="17"/>
              </w:rPr>
              <w:t xml:space="preserve">Agrégé / anonymisé</w:t>
            </w:r>
          </w:p>
        </w:tc>
        <w:tc>
          <w:tcPr>
            <w:tcW w:type="dxa" w:w="1807"/>
            <w:tcBorders>
              <w:top w:val="single" w:color="DDDDDD" w:sz="1"/>
              <w:left w:val="single" w:color="DDDDDD" w:sz="1"/>
              <w:bottom w:val="single" w:color="DDDDDD" w:sz="1"/>
              <w:right w:val="single" w:color="DDDDDD" w:sz="1"/>
            </w:tcBorders>
            <w:shd w:fill="F6F6F6" w:val="clear"/>
            <w:tcMar>
              <w:top w:type="dxa" w:w="60"/>
              <w:left w:type="dxa" w:w="100"/>
              <w:bottom w:type="dxa" w:w="60"/>
              <w:right w:type="dxa" w:w="100"/>
            </w:tcMar>
          </w:tcPr>
          <w:p>
            <w:pPr>
              <w:spacing w:line="240"/>
            </w:pPr>
            <w:r>
              <w:rPr>
                <w:rFonts w:ascii="Marianne" w:cs="Marianne" w:eastAsia="Marianne" w:hAnsi="Marianne"/>
                <w:color w:val="3A3A3A"/>
                <w:sz w:val="17"/>
                <w:szCs w:val="17"/>
              </w:rPr>
              <w:t xml:space="preserve">Vibe Lab</w:t>
            </w:r>
          </w:p>
        </w:tc>
      </w:tr>
      <w:tr>
        <w:tc>
          <w:tcPr>
            <w:tcW w:type="dxa" w:w="2075"/>
            <w:tcBorders>
              <w:top w:val="single" w:color="DDDDDD" w:sz="1"/>
              <w:left w:val="single" w:color="DDDDDD" w:sz="1"/>
              <w:bottom w:val="single" w:color="DDDDDD" w:sz="1"/>
              <w:right w:val="single" w:color="DDDDDD" w:sz="1"/>
            </w:tcBorders>
            <w:tcMar>
              <w:top w:type="dxa" w:w="60"/>
              <w:left w:type="dxa" w:w="100"/>
              <w:bottom w:type="dxa" w:w="60"/>
              <w:right w:type="dxa" w:w="100"/>
            </w:tcMar>
          </w:tcPr>
          <w:p>
            <w:pPr>
              <w:spacing w:line="240"/>
            </w:pPr>
            <w:r>
              <w:rPr>
                <w:rFonts w:ascii="Marianne" w:cs="Marianne" w:eastAsia="Marianne" w:hAnsi="Marianne"/>
                <w:color w:val="3A3A3A"/>
                <w:sz w:val="17"/>
                <w:szCs w:val="17"/>
              </w:rPr>
              <w:t xml:space="preserve">Chatbot RH</w:t>
            </w:r>
          </w:p>
        </w:tc>
        <w:tc>
          <w:tcPr>
            <w:tcW w:type="dxa" w:w="2888"/>
            <w:tcBorders>
              <w:top w:val="single" w:color="DDDDDD" w:sz="1"/>
              <w:left w:val="single" w:color="DDDDDD" w:sz="1"/>
              <w:bottom w:val="single" w:color="DDDDDD" w:sz="1"/>
              <w:right w:val="single" w:color="DDDDDD" w:sz="1"/>
            </w:tcBorders>
            <w:tcMar>
              <w:top w:type="dxa" w:w="60"/>
              <w:left w:type="dxa" w:w="100"/>
              <w:bottom w:type="dxa" w:w="60"/>
              <w:right w:type="dxa" w:w="100"/>
            </w:tcMar>
          </w:tcPr>
          <w:p>
            <w:pPr>
              <w:spacing w:line="240"/>
            </w:pPr>
            <w:r>
              <w:rPr>
                <w:rFonts w:ascii="Marianne" w:cs="Marianne" w:eastAsia="Marianne" w:hAnsi="Marianne"/>
                <w:color w:val="3A3A3A"/>
                <w:sz w:val="17"/>
                <w:szCs w:val="17"/>
              </w:rPr>
              <w:t xml:space="preserve">Circulaires, notes de service</w:t>
            </w:r>
          </w:p>
        </w:tc>
        <w:tc>
          <w:tcPr>
            <w:tcW w:type="dxa" w:w="2256"/>
            <w:tcBorders>
              <w:top w:val="single" w:color="DDDDDD" w:sz="1"/>
              <w:left w:val="single" w:color="DDDDDD" w:sz="1"/>
              <w:bottom w:val="single" w:color="DDDDDD" w:sz="1"/>
              <w:right w:val="single" w:color="DDDDDD" w:sz="1"/>
            </w:tcBorders>
            <w:tcMar>
              <w:top w:type="dxa" w:w="60"/>
              <w:left w:type="dxa" w:w="100"/>
              <w:bottom w:type="dxa" w:w="60"/>
              <w:right w:type="dxa" w:w="100"/>
            </w:tcMar>
          </w:tcPr>
          <w:p>
            <w:pPr>
              <w:spacing w:line="240"/>
            </w:pPr>
            <w:r>
              <w:rPr>
                <w:rFonts w:ascii="Marianne" w:cs="Marianne" w:eastAsia="Marianne" w:hAnsi="Marianne"/>
                <w:color w:val="3A3A3A"/>
                <w:sz w:val="17"/>
                <w:szCs w:val="17"/>
              </w:rPr>
              <w:t xml:space="preserve">Documents non classifiés</w:t>
            </w:r>
          </w:p>
        </w:tc>
        <w:tc>
          <w:tcPr>
            <w:tcW w:type="dxa" w:w="1807"/>
            <w:tcBorders>
              <w:top w:val="single" w:color="DDDDDD" w:sz="1"/>
              <w:left w:val="single" w:color="DDDDDD" w:sz="1"/>
              <w:bottom w:val="single" w:color="DDDDDD" w:sz="1"/>
              <w:right w:val="single" w:color="DDDDDD" w:sz="1"/>
            </w:tcBorders>
            <w:tcMar>
              <w:top w:type="dxa" w:w="60"/>
              <w:left w:type="dxa" w:w="100"/>
              <w:bottom w:type="dxa" w:w="60"/>
              <w:right w:type="dxa" w:w="100"/>
            </w:tcMar>
          </w:tcPr>
          <w:p>
            <w:pPr>
              <w:spacing w:line="240"/>
            </w:pPr>
            <w:r>
              <w:rPr>
                <w:rFonts w:ascii="Marianne" w:cs="Marianne" w:eastAsia="Marianne" w:hAnsi="Marianne"/>
                <w:color w:val="3A3A3A"/>
                <w:sz w:val="17"/>
                <w:szCs w:val="17"/>
              </w:rPr>
              <w:t xml:space="preserve">Vibe Lab</w:t>
            </w:r>
          </w:p>
        </w:tc>
      </w:tr>
      <w:tr>
        <w:tc>
          <w:tcPr>
            <w:tcW w:type="dxa" w:w="2075"/>
            <w:tcBorders>
              <w:top w:val="single" w:color="DDDDDD" w:sz="1"/>
              <w:left w:val="single" w:color="DDDDDD" w:sz="1"/>
              <w:bottom w:val="single" w:color="DDDDDD" w:sz="1"/>
              <w:right w:val="single" w:color="DDDDDD" w:sz="1"/>
            </w:tcBorders>
            <w:shd w:fill="F6F6F6" w:val="clear"/>
            <w:tcMar>
              <w:top w:type="dxa" w:w="60"/>
              <w:left w:type="dxa" w:w="100"/>
              <w:bottom w:type="dxa" w:w="60"/>
              <w:right w:type="dxa" w:w="100"/>
            </w:tcMar>
          </w:tcPr>
          <w:p>
            <w:pPr>
              <w:spacing w:line="240"/>
            </w:pPr>
            <w:r>
              <w:rPr>
                <w:rFonts w:ascii="Marianne" w:cs="Marianne" w:eastAsia="Marianne" w:hAnsi="Marianne"/>
                <w:color w:val="3A3A3A"/>
                <w:sz w:val="17"/>
                <w:szCs w:val="17"/>
              </w:rPr>
              <w:t xml:space="preserve">TB exécution budgétaire</w:t>
            </w:r>
          </w:p>
        </w:tc>
        <w:tc>
          <w:tcPr>
            <w:tcW w:type="dxa" w:w="2888"/>
            <w:tcBorders>
              <w:top w:val="single" w:color="DDDDDD" w:sz="1"/>
              <w:left w:val="single" w:color="DDDDDD" w:sz="1"/>
              <w:bottom w:val="single" w:color="DDDDDD" w:sz="1"/>
              <w:right w:val="single" w:color="DDDDDD" w:sz="1"/>
            </w:tcBorders>
            <w:shd w:fill="F6F6F6" w:val="clear"/>
            <w:tcMar>
              <w:top w:type="dxa" w:w="60"/>
              <w:left w:type="dxa" w:w="100"/>
              <w:bottom w:type="dxa" w:w="60"/>
              <w:right w:type="dxa" w:w="100"/>
            </w:tcMar>
          </w:tcPr>
          <w:p>
            <w:pPr>
              <w:spacing w:line="240"/>
            </w:pPr>
            <w:r>
              <w:rPr>
                <w:rFonts w:ascii="Marianne" w:cs="Marianne" w:eastAsia="Marianne" w:hAnsi="Marianne"/>
                <w:color w:val="3A3A3A"/>
                <w:sz w:val="17"/>
                <w:szCs w:val="17"/>
              </w:rPr>
              <w:t xml:space="preserve">LOLF, PAP/RAP</w:t>
            </w:r>
          </w:p>
        </w:tc>
        <w:tc>
          <w:tcPr>
            <w:tcW w:type="dxa" w:w="2256"/>
            <w:tcBorders>
              <w:top w:val="single" w:color="DDDDDD" w:sz="1"/>
              <w:left w:val="single" w:color="DDDDDD" w:sz="1"/>
              <w:bottom w:val="single" w:color="DDDDDD" w:sz="1"/>
              <w:right w:val="single" w:color="DDDDDD" w:sz="1"/>
            </w:tcBorders>
            <w:shd w:fill="F6F6F6" w:val="clear"/>
            <w:tcMar>
              <w:top w:type="dxa" w:w="60"/>
              <w:left w:type="dxa" w:w="100"/>
              <w:bottom w:type="dxa" w:w="60"/>
              <w:right w:type="dxa" w:w="100"/>
            </w:tcMar>
          </w:tcPr>
          <w:p>
            <w:pPr>
              <w:spacing w:line="240"/>
            </w:pPr>
            <w:r>
              <w:rPr>
                <w:rFonts w:ascii="Marianne" w:cs="Marianne" w:eastAsia="Marianne" w:hAnsi="Marianne"/>
                <w:color w:val="3A3A3A"/>
                <w:sz w:val="17"/>
                <w:szCs w:val="17"/>
              </w:rPr>
              <w:t xml:space="preserve">Données publiques</w:t>
            </w:r>
          </w:p>
        </w:tc>
        <w:tc>
          <w:tcPr>
            <w:tcW w:type="dxa" w:w="1807"/>
            <w:tcBorders>
              <w:top w:val="single" w:color="DDDDDD" w:sz="1"/>
              <w:left w:val="single" w:color="DDDDDD" w:sz="1"/>
              <w:bottom w:val="single" w:color="DDDDDD" w:sz="1"/>
              <w:right w:val="single" w:color="DDDDDD" w:sz="1"/>
            </w:tcBorders>
            <w:shd w:fill="F6F6F6" w:val="clear"/>
            <w:tcMar>
              <w:top w:type="dxa" w:w="60"/>
              <w:left w:type="dxa" w:w="100"/>
              <w:bottom w:type="dxa" w:w="60"/>
              <w:right w:type="dxa" w:w="100"/>
            </w:tcMar>
          </w:tcPr>
          <w:p>
            <w:pPr>
              <w:spacing w:line="240"/>
            </w:pPr>
            <w:r>
              <w:rPr>
                <w:rFonts w:ascii="Marianne" w:cs="Marianne" w:eastAsia="Marianne" w:hAnsi="Marianne"/>
                <w:color w:val="3A3A3A"/>
                <w:sz w:val="17"/>
                <w:szCs w:val="17"/>
              </w:rPr>
              <w:t xml:space="preserve">Vibe Lab</w:t>
            </w:r>
          </w:p>
        </w:tc>
      </w:tr>
      <w:tr>
        <w:tc>
          <w:tcPr>
            <w:tcW w:type="dxa" w:w="2075"/>
            <w:tcBorders>
              <w:top w:val="single" w:color="DDDDDD" w:sz="1"/>
              <w:left w:val="single" w:color="DDDDDD" w:sz="1"/>
              <w:bottom w:val="single" w:color="DDDDDD" w:sz="1"/>
              <w:right w:val="single" w:color="DDDDDD" w:sz="1"/>
            </w:tcBorders>
            <w:tcMar>
              <w:top w:type="dxa" w:w="60"/>
              <w:left w:type="dxa" w:w="100"/>
              <w:bottom w:type="dxa" w:w="60"/>
              <w:right w:type="dxa" w:w="100"/>
            </w:tcMar>
          </w:tcPr>
          <w:p>
            <w:pPr>
              <w:spacing w:line="240"/>
            </w:pPr>
            <w:r>
              <w:rPr>
                <w:rFonts w:ascii="Marianne" w:cs="Marianne" w:eastAsia="Marianne" w:hAnsi="Marianne"/>
                <w:color w:val="3A3A3A"/>
                <w:sz w:val="17"/>
                <w:szCs w:val="17"/>
              </w:rPr>
              <w:t xml:space="preserve">Simulateur budget</w:t>
            </w:r>
          </w:p>
        </w:tc>
        <w:tc>
          <w:tcPr>
            <w:tcW w:type="dxa" w:w="2888"/>
            <w:tcBorders>
              <w:top w:val="single" w:color="DDDDDD" w:sz="1"/>
              <w:left w:val="single" w:color="DDDDDD" w:sz="1"/>
              <w:bottom w:val="single" w:color="DDDDDD" w:sz="1"/>
              <w:right w:val="single" w:color="DDDDDD" w:sz="1"/>
            </w:tcBorders>
            <w:tcMar>
              <w:top w:type="dxa" w:w="60"/>
              <w:left w:type="dxa" w:w="100"/>
              <w:bottom w:type="dxa" w:w="60"/>
              <w:right w:type="dxa" w:w="100"/>
            </w:tcMar>
          </w:tcPr>
          <w:p>
            <w:pPr>
              <w:spacing w:line="240"/>
            </w:pPr>
            <w:r>
              <w:rPr>
                <w:rFonts w:ascii="Marianne" w:cs="Marianne" w:eastAsia="Marianne" w:hAnsi="Marianne"/>
                <w:color w:val="3A3A3A"/>
                <w:sz w:val="17"/>
                <w:szCs w:val="17"/>
              </w:rPr>
              <w:t xml:space="preserve">Barèmes publics</w:t>
            </w:r>
          </w:p>
        </w:tc>
        <w:tc>
          <w:tcPr>
            <w:tcW w:type="dxa" w:w="2256"/>
            <w:tcBorders>
              <w:top w:val="single" w:color="DDDDDD" w:sz="1"/>
              <w:left w:val="single" w:color="DDDDDD" w:sz="1"/>
              <w:bottom w:val="single" w:color="DDDDDD" w:sz="1"/>
              <w:right w:val="single" w:color="DDDDDD" w:sz="1"/>
            </w:tcBorders>
            <w:tcMar>
              <w:top w:type="dxa" w:w="60"/>
              <w:left w:type="dxa" w:w="100"/>
              <w:bottom w:type="dxa" w:w="60"/>
              <w:right w:type="dxa" w:w="100"/>
            </w:tcMar>
          </w:tcPr>
          <w:p>
            <w:pPr>
              <w:spacing w:line="240"/>
            </w:pPr>
            <w:r>
              <w:rPr>
                <w:rFonts w:ascii="Marianne" w:cs="Marianne" w:eastAsia="Marianne" w:hAnsi="Marianne"/>
                <w:color w:val="3A3A3A"/>
                <w:sz w:val="17"/>
                <w:szCs w:val="17"/>
              </w:rPr>
              <w:t xml:space="preserve">Données publiques</w:t>
            </w:r>
          </w:p>
        </w:tc>
        <w:tc>
          <w:tcPr>
            <w:tcW w:type="dxa" w:w="1807"/>
            <w:tcBorders>
              <w:top w:val="single" w:color="DDDDDD" w:sz="1"/>
              <w:left w:val="single" w:color="DDDDDD" w:sz="1"/>
              <w:bottom w:val="single" w:color="DDDDDD" w:sz="1"/>
              <w:right w:val="single" w:color="DDDDDD" w:sz="1"/>
            </w:tcBorders>
            <w:tcMar>
              <w:top w:type="dxa" w:w="60"/>
              <w:left w:type="dxa" w:w="100"/>
              <w:bottom w:type="dxa" w:w="60"/>
              <w:right w:type="dxa" w:w="100"/>
            </w:tcMar>
          </w:tcPr>
          <w:p>
            <w:pPr>
              <w:spacing w:line="240"/>
            </w:pPr>
            <w:r>
              <w:rPr>
                <w:rFonts w:ascii="Marianne" w:cs="Marianne" w:eastAsia="Marianne" w:hAnsi="Marianne"/>
                <w:color w:val="3A3A3A"/>
                <w:sz w:val="17"/>
                <w:szCs w:val="17"/>
              </w:rPr>
              <w:t xml:space="preserve">Vibe Lab</w:t>
            </w:r>
          </w:p>
        </w:tc>
      </w:tr>
      <w:tr>
        <w:tc>
          <w:tcPr>
            <w:tcW w:type="dxa" w:w="2075"/>
            <w:tcBorders>
              <w:top w:val="single" w:color="DDDDDD" w:sz="1"/>
              <w:left w:val="single" w:color="DDDDDD" w:sz="1"/>
              <w:bottom w:val="single" w:color="DDDDDD" w:sz="1"/>
              <w:right w:val="single" w:color="DDDDDD" w:sz="1"/>
            </w:tcBorders>
            <w:shd w:fill="F6F6F6" w:val="clear"/>
            <w:tcMar>
              <w:top w:type="dxa" w:w="60"/>
              <w:left w:type="dxa" w:w="100"/>
              <w:bottom w:type="dxa" w:w="60"/>
              <w:right w:type="dxa" w:w="100"/>
            </w:tcMar>
          </w:tcPr>
          <w:p>
            <w:pPr>
              <w:spacing w:line="240"/>
            </w:pPr>
            <w:r>
              <w:rPr>
                <w:rFonts w:ascii="Marianne" w:cs="Marianne" w:eastAsia="Marianne" w:hAnsi="Marianne"/>
                <w:color w:val="3A3A3A"/>
                <w:sz w:val="17"/>
                <w:szCs w:val="17"/>
              </w:rPr>
              <w:t xml:space="preserve">Générateur rapports</w:t>
            </w:r>
          </w:p>
        </w:tc>
        <w:tc>
          <w:tcPr>
            <w:tcW w:type="dxa" w:w="2888"/>
            <w:tcBorders>
              <w:top w:val="single" w:color="DDDDDD" w:sz="1"/>
              <w:left w:val="single" w:color="DDDDDD" w:sz="1"/>
              <w:bottom w:val="single" w:color="DDDDDD" w:sz="1"/>
              <w:right w:val="single" w:color="DDDDDD" w:sz="1"/>
            </w:tcBorders>
            <w:shd w:fill="F6F6F6" w:val="clear"/>
            <w:tcMar>
              <w:top w:type="dxa" w:w="60"/>
              <w:left w:type="dxa" w:w="100"/>
              <w:bottom w:type="dxa" w:w="60"/>
              <w:right w:type="dxa" w:w="100"/>
            </w:tcMar>
          </w:tcPr>
          <w:p>
            <w:pPr>
              <w:spacing w:line="240"/>
            </w:pPr>
            <w:r>
              <w:rPr>
                <w:rFonts w:ascii="Marianne" w:cs="Marianne" w:eastAsia="Marianne" w:hAnsi="Marianne"/>
                <w:color w:val="3A3A3A"/>
                <w:sz w:val="17"/>
                <w:szCs w:val="17"/>
              </w:rPr>
              <w:t xml:space="preserve">Exports CSV anonymisés</w:t>
            </w:r>
          </w:p>
        </w:tc>
        <w:tc>
          <w:tcPr>
            <w:tcW w:type="dxa" w:w="2256"/>
            <w:tcBorders>
              <w:top w:val="single" w:color="DDDDDD" w:sz="1"/>
              <w:left w:val="single" w:color="DDDDDD" w:sz="1"/>
              <w:bottom w:val="single" w:color="DDDDDD" w:sz="1"/>
              <w:right w:val="single" w:color="DDDDDD" w:sz="1"/>
            </w:tcBorders>
            <w:shd w:fill="F6F6F6" w:val="clear"/>
            <w:tcMar>
              <w:top w:type="dxa" w:w="60"/>
              <w:left w:type="dxa" w:w="100"/>
              <w:bottom w:type="dxa" w:w="60"/>
              <w:right w:type="dxa" w:w="100"/>
            </w:tcMar>
          </w:tcPr>
          <w:p>
            <w:pPr>
              <w:spacing w:line="240"/>
            </w:pPr>
            <w:r>
              <w:rPr>
                <w:rFonts w:ascii="Marianne" w:cs="Marianne" w:eastAsia="Marianne" w:hAnsi="Marianne"/>
                <w:color w:val="3A3A3A"/>
                <w:sz w:val="17"/>
                <w:szCs w:val="17"/>
              </w:rPr>
              <w:t xml:space="preserve">Agrégé / anonymisé</w:t>
            </w:r>
          </w:p>
        </w:tc>
        <w:tc>
          <w:tcPr>
            <w:tcW w:type="dxa" w:w="1807"/>
            <w:tcBorders>
              <w:top w:val="single" w:color="DDDDDD" w:sz="1"/>
              <w:left w:val="single" w:color="DDDDDD" w:sz="1"/>
              <w:bottom w:val="single" w:color="DDDDDD" w:sz="1"/>
              <w:right w:val="single" w:color="DDDDDD" w:sz="1"/>
            </w:tcBorders>
            <w:shd w:fill="F6F6F6" w:val="clear"/>
            <w:tcMar>
              <w:top w:type="dxa" w:w="60"/>
              <w:left w:type="dxa" w:w="100"/>
              <w:bottom w:type="dxa" w:w="60"/>
              <w:right w:type="dxa" w:w="100"/>
            </w:tcMar>
          </w:tcPr>
          <w:p>
            <w:pPr>
              <w:spacing w:line="240"/>
            </w:pPr>
            <w:r>
              <w:rPr>
                <w:rFonts w:ascii="Marianne" w:cs="Marianne" w:eastAsia="Marianne" w:hAnsi="Marianne"/>
                <w:color w:val="3A3A3A"/>
                <w:sz w:val="17"/>
                <w:szCs w:val="17"/>
              </w:rPr>
              <w:t xml:space="preserve">Vibe Lab</w:t>
            </w:r>
          </w:p>
        </w:tc>
      </w:tr>
      <w:tr>
        <w:tc>
          <w:tcPr>
            <w:tcW w:type="dxa" w:w="2075"/>
            <w:tcBorders>
              <w:top w:val="single" w:color="DDDDDD" w:sz="1"/>
              <w:left w:val="single" w:color="DDDDDD" w:sz="1"/>
              <w:bottom w:val="single" w:color="DDDDDD" w:sz="1"/>
              <w:right w:val="single" w:color="DDDDDD" w:sz="1"/>
            </w:tcBorders>
            <w:tcMar>
              <w:top w:type="dxa" w:w="60"/>
              <w:left w:type="dxa" w:w="100"/>
              <w:bottom w:type="dxa" w:w="60"/>
              <w:right w:type="dxa" w:w="100"/>
            </w:tcMar>
          </w:tcPr>
          <w:p>
            <w:pPr>
              <w:spacing w:line="240"/>
            </w:pPr>
            <w:r>
              <w:rPr>
                <w:rFonts w:ascii="Marianne" w:cs="Marianne" w:eastAsia="Marianne" w:hAnsi="Marianne"/>
                <w:color w:val="3A3A3A"/>
                <w:sz w:val="17"/>
                <w:szCs w:val="17"/>
              </w:rPr>
              <w:t xml:space="preserve">Guide des sites</w:t>
            </w:r>
          </w:p>
        </w:tc>
        <w:tc>
          <w:tcPr>
            <w:tcW w:type="dxa" w:w="2888"/>
            <w:tcBorders>
              <w:top w:val="single" w:color="DDDDDD" w:sz="1"/>
              <w:left w:val="single" w:color="DDDDDD" w:sz="1"/>
              <w:bottom w:val="single" w:color="DDDDDD" w:sz="1"/>
              <w:right w:val="single" w:color="DDDDDD" w:sz="1"/>
            </w:tcBorders>
            <w:tcMar>
              <w:top w:type="dxa" w:w="60"/>
              <w:left w:type="dxa" w:w="100"/>
              <w:bottom w:type="dxa" w:w="60"/>
              <w:right w:type="dxa" w:w="100"/>
            </w:tcMar>
          </w:tcPr>
          <w:p>
            <w:pPr>
              <w:spacing w:line="240"/>
            </w:pPr>
            <w:r>
              <w:rPr>
                <w:rFonts w:ascii="Marianne" w:cs="Marianne" w:eastAsia="Marianne" w:hAnsi="Marianne"/>
                <w:color w:val="3A3A3A"/>
                <w:sz w:val="17"/>
                <w:szCs w:val="17"/>
              </w:rPr>
              <w:t xml:space="preserve">Infos immobilières</w:t>
            </w:r>
          </w:p>
        </w:tc>
        <w:tc>
          <w:tcPr>
            <w:tcW w:type="dxa" w:w="2256"/>
            <w:tcBorders>
              <w:top w:val="single" w:color="DDDDDD" w:sz="1"/>
              <w:left w:val="single" w:color="DDDDDD" w:sz="1"/>
              <w:bottom w:val="single" w:color="DDDDDD" w:sz="1"/>
              <w:right w:val="single" w:color="DDDDDD" w:sz="1"/>
            </w:tcBorders>
            <w:tcMar>
              <w:top w:type="dxa" w:w="60"/>
              <w:left w:type="dxa" w:w="100"/>
              <w:bottom w:type="dxa" w:w="60"/>
              <w:right w:type="dxa" w:w="100"/>
            </w:tcMar>
          </w:tcPr>
          <w:p>
            <w:pPr>
              <w:spacing w:line="240"/>
            </w:pPr>
            <w:r>
              <w:rPr>
                <w:rFonts w:ascii="Marianne" w:cs="Marianne" w:eastAsia="Marianne" w:hAnsi="Marianne"/>
                <w:color w:val="3A3A3A"/>
                <w:sz w:val="17"/>
                <w:szCs w:val="17"/>
              </w:rPr>
              <w:t xml:space="preserve">Données publiques</w:t>
            </w:r>
          </w:p>
        </w:tc>
        <w:tc>
          <w:tcPr>
            <w:tcW w:type="dxa" w:w="1807"/>
            <w:tcBorders>
              <w:top w:val="single" w:color="DDDDDD" w:sz="1"/>
              <w:left w:val="single" w:color="DDDDDD" w:sz="1"/>
              <w:bottom w:val="single" w:color="DDDDDD" w:sz="1"/>
              <w:right w:val="single" w:color="DDDDDD" w:sz="1"/>
            </w:tcBorders>
            <w:tcMar>
              <w:top w:type="dxa" w:w="60"/>
              <w:left w:type="dxa" w:w="100"/>
              <w:bottom w:type="dxa" w:w="60"/>
              <w:right w:type="dxa" w:w="100"/>
            </w:tcMar>
          </w:tcPr>
          <w:p>
            <w:pPr>
              <w:spacing w:line="240"/>
            </w:pPr>
            <w:r>
              <w:rPr>
                <w:rFonts w:ascii="Marianne" w:cs="Marianne" w:eastAsia="Marianne" w:hAnsi="Marianne"/>
                <w:color w:val="3A3A3A"/>
                <w:sz w:val="17"/>
                <w:szCs w:val="17"/>
              </w:rPr>
              <w:t xml:space="preserve">Vibe Lab</w:t>
            </w:r>
          </w:p>
        </w:tc>
      </w:tr>
      <w:tr>
        <w:tc>
          <w:tcPr>
            <w:tcW w:type="dxa" w:w="2075"/>
            <w:tcBorders>
              <w:top w:val="single" w:color="DDDDDD" w:sz="1"/>
              <w:left w:val="single" w:color="DDDDDD" w:sz="1"/>
              <w:bottom w:val="single" w:color="DDDDDD" w:sz="1"/>
              <w:right w:val="single" w:color="DDDDDD" w:sz="1"/>
            </w:tcBorders>
            <w:shd w:fill="F6F6F6" w:val="clear"/>
            <w:tcMar>
              <w:top w:type="dxa" w:w="60"/>
              <w:left w:type="dxa" w:w="100"/>
              <w:bottom w:type="dxa" w:w="60"/>
              <w:right w:type="dxa" w:w="100"/>
            </w:tcMar>
          </w:tcPr>
          <w:p>
            <w:pPr>
              <w:spacing w:line="240"/>
            </w:pPr>
            <w:r>
              <w:rPr>
                <w:rFonts w:ascii="Marianne" w:cs="Marianne" w:eastAsia="Marianne" w:hAnsi="Marianne"/>
                <w:color w:val="3A3A3A"/>
                <w:sz w:val="17"/>
                <w:szCs w:val="17"/>
              </w:rPr>
              <w:t xml:space="preserve">Empreinte carbone</w:t>
            </w:r>
          </w:p>
        </w:tc>
        <w:tc>
          <w:tcPr>
            <w:tcW w:type="dxa" w:w="2888"/>
            <w:tcBorders>
              <w:top w:val="single" w:color="DDDDDD" w:sz="1"/>
              <w:left w:val="single" w:color="DDDDDD" w:sz="1"/>
              <w:bottom w:val="single" w:color="DDDDDD" w:sz="1"/>
              <w:right w:val="single" w:color="DDDDDD" w:sz="1"/>
            </w:tcBorders>
            <w:shd w:fill="F6F6F6" w:val="clear"/>
            <w:tcMar>
              <w:top w:type="dxa" w:w="60"/>
              <w:left w:type="dxa" w:w="100"/>
              <w:bottom w:type="dxa" w:w="60"/>
              <w:right w:type="dxa" w:w="100"/>
            </w:tcMar>
          </w:tcPr>
          <w:p>
            <w:pPr>
              <w:spacing w:line="240"/>
            </w:pPr>
            <w:r>
              <w:rPr>
                <w:rFonts w:ascii="Marianne" w:cs="Marianne" w:eastAsia="Marianne" w:hAnsi="Marianne"/>
                <w:color w:val="3A3A3A"/>
                <w:sz w:val="17"/>
                <w:szCs w:val="17"/>
              </w:rPr>
              <w:t xml:space="preserve">Bilans carbone, ADEME</w:t>
            </w:r>
          </w:p>
        </w:tc>
        <w:tc>
          <w:tcPr>
            <w:tcW w:type="dxa" w:w="2256"/>
            <w:tcBorders>
              <w:top w:val="single" w:color="DDDDDD" w:sz="1"/>
              <w:left w:val="single" w:color="DDDDDD" w:sz="1"/>
              <w:bottom w:val="single" w:color="DDDDDD" w:sz="1"/>
              <w:right w:val="single" w:color="DDDDDD" w:sz="1"/>
            </w:tcBorders>
            <w:shd w:fill="F6F6F6" w:val="clear"/>
            <w:tcMar>
              <w:top w:type="dxa" w:w="60"/>
              <w:left w:type="dxa" w:w="100"/>
              <w:bottom w:type="dxa" w:w="60"/>
              <w:right w:type="dxa" w:w="100"/>
            </w:tcMar>
          </w:tcPr>
          <w:p>
            <w:pPr>
              <w:spacing w:line="240"/>
            </w:pPr>
            <w:r>
              <w:rPr>
                <w:rFonts w:ascii="Marianne" w:cs="Marianne" w:eastAsia="Marianne" w:hAnsi="Marianne"/>
                <w:color w:val="3A3A3A"/>
                <w:sz w:val="17"/>
                <w:szCs w:val="17"/>
              </w:rPr>
              <w:t xml:space="preserve">Données publiques</w:t>
            </w:r>
          </w:p>
        </w:tc>
        <w:tc>
          <w:tcPr>
            <w:tcW w:type="dxa" w:w="1807"/>
            <w:tcBorders>
              <w:top w:val="single" w:color="DDDDDD" w:sz="1"/>
              <w:left w:val="single" w:color="DDDDDD" w:sz="1"/>
              <w:bottom w:val="single" w:color="DDDDDD" w:sz="1"/>
              <w:right w:val="single" w:color="DDDDDD" w:sz="1"/>
            </w:tcBorders>
            <w:shd w:fill="F6F6F6" w:val="clear"/>
            <w:tcMar>
              <w:top w:type="dxa" w:w="60"/>
              <w:left w:type="dxa" w:w="100"/>
              <w:bottom w:type="dxa" w:w="60"/>
              <w:right w:type="dxa" w:w="100"/>
            </w:tcMar>
          </w:tcPr>
          <w:p>
            <w:pPr>
              <w:spacing w:line="240"/>
            </w:pPr>
            <w:r>
              <w:rPr>
                <w:rFonts w:ascii="Marianne" w:cs="Marianne" w:eastAsia="Marianne" w:hAnsi="Marianne"/>
                <w:color w:val="3A3A3A"/>
                <w:sz w:val="17"/>
                <w:szCs w:val="17"/>
              </w:rPr>
              <w:t xml:space="preserve">Vibe Lab</w:t>
            </w:r>
          </w:p>
        </w:tc>
      </w:tr>
      <w:tr>
        <w:tc>
          <w:tcPr>
            <w:tcW w:type="dxa" w:w="2075"/>
            <w:tcBorders>
              <w:top w:val="single" w:color="DDDDDD" w:sz="1"/>
              <w:left w:val="single" w:color="DDDDDD" w:sz="1"/>
              <w:bottom w:val="single" w:color="DDDDDD" w:sz="1"/>
              <w:right w:val="single" w:color="DDDDDD" w:sz="1"/>
            </w:tcBorders>
            <w:tcMar>
              <w:top w:type="dxa" w:w="60"/>
              <w:left w:type="dxa" w:w="100"/>
              <w:bottom w:type="dxa" w:w="60"/>
              <w:right w:type="dxa" w:w="100"/>
            </w:tcMar>
          </w:tcPr>
          <w:p>
            <w:pPr>
              <w:spacing w:line="240"/>
            </w:pPr>
            <w:r>
              <w:rPr>
                <w:rFonts w:ascii="Marianne" w:cs="Marianne" w:eastAsia="Marianne" w:hAnsi="Marianne"/>
                <w:color w:val="3A3A3A"/>
                <w:sz w:val="17"/>
                <w:szCs w:val="17"/>
              </w:rPr>
              <w:t xml:space="preserve">Signalements bâtiment</w:t>
            </w:r>
          </w:p>
        </w:tc>
        <w:tc>
          <w:tcPr>
            <w:tcW w:type="dxa" w:w="2888"/>
            <w:tcBorders>
              <w:top w:val="single" w:color="DDDDDD" w:sz="1"/>
              <w:left w:val="single" w:color="DDDDDD" w:sz="1"/>
              <w:bottom w:val="single" w:color="DDDDDD" w:sz="1"/>
              <w:right w:val="single" w:color="DDDDDD" w:sz="1"/>
            </w:tcBorders>
            <w:tcMar>
              <w:top w:type="dxa" w:w="60"/>
              <w:left w:type="dxa" w:w="100"/>
              <w:bottom w:type="dxa" w:w="60"/>
              <w:right w:type="dxa" w:w="100"/>
            </w:tcMar>
          </w:tcPr>
          <w:p>
            <w:pPr>
              <w:spacing w:line="240"/>
            </w:pPr>
            <w:r>
              <w:rPr>
                <w:rFonts w:ascii="Marianne" w:cs="Marianne" w:eastAsia="Marianne" w:hAnsi="Marianne"/>
                <w:color w:val="3A3A3A"/>
                <w:sz w:val="17"/>
                <w:szCs w:val="17"/>
              </w:rPr>
              <w:t xml:space="preserve">Localisations (bât./bureau)</w:t>
            </w:r>
          </w:p>
        </w:tc>
        <w:tc>
          <w:tcPr>
            <w:tcW w:type="dxa" w:w="2256"/>
            <w:tcBorders>
              <w:top w:val="single" w:color="DDDDDD" w:sz="1"/>
              <w:left w:val="single" w:color="DDDDDD" w:sz="1"/>
              <w:bottom w:val="single" w:color="DDDDDD" w:sz="1"/>
              <w:right w:val="single" w:color="DDDDDD" w:sz="1"/>
            </w:tcBorders>
            <w:tcMar>
              <w:top w:type="dxa" w:w="60"/>
              <w:left w:type="dxa" w:w="100"/>
              <w:bottom w:type="dxa" w:w="60"/>
              <w:right w:type="dxa" w:w="100"/>
            </w:tcMar>
          </w:tcPr>
          <w:p>
            <w:pPr>
              <w:spacing w:line="240"/>
            </w:pPr>
            <w:r>
              <w:rPr>
                <w:rFonts w:ascii="Marianne" w:cs="Marianne" w:eastAsia="Marianne" w:hAnsi="Marianne"/>
                <w:color w:val="3A3A3A"/>
                <w:sz w:val="17"/>
                <w:szCs w:val="17"/>
              </w:rPr>
              <w:t xml:space="preserve">Pas de donnée perso.</w:t>
            </w:r>
          </w:p>
        </w:tc>
        <w:tc>
          <w:tcPr>
            <w:tcW w:type="dxa" w:w="1807"/>
            <w:tcBorders>
              <w:top w:val="single" w:color="DDDDDD" w:sz="1"/>
              <w:left w:val="single" w:color="DDDDDD" w:sz="1"/>
              <w:bottom w:val="single" w:color="DDDDDD" w:sz="1"/>
              <w:right w:val="single" w:color="DDDDDD" w:sz="1"/>
            </w:tcBorders>
            <w:tcMar>
              <w:top w:type="dxa" w:w="60"/>
              <w:left w:type="dxa" w:w="100"/>
              <w:bottom w:type="dxa" w:w="60"/>
              <w:right w:type="dxa" w:w="100"/>
            </w:tcMar>
          </w:tcPr>
          <w:p>
            <w:pPr>
              <w:spacing w:line="240"/>
            </w:pPr>
            <w:r>
              <w:rPr>
                <w:rFonts w:ascii="Marianne" w:cs="Marianne" w:eastAsia="Marianne" w:hAnsi="Marianne"/>
                <w:color w:val="3A3A3A"/>
                <w:sz w:val="17"/>
                <w:szCs w:val="17"/>
              </w:rPr>
              <w:t xml:space="preserve">Vibe Lab</w:t>
            </w:r>
          </w:p>
        </w:tc>
      </w:tr>
      <w:tr>
        <w:tc>
          <w:tcPr>
            <w:tcW w:type="dxa" w:w="2075"/>
            <w:tcBorders>
              <w:top w:val="single" w:color="DDDDDD" w:sz="1"/>
              <w:left w:val="single" w:color="DDDDDD" w:sz="1"/>
              <w:bottom w:val="single" w:color="DDDDDD" w:sz="1"/>
              <w:right w:val="single" w:color="DDDDDD" w:sz="1"/>
            </w:tcBorders>
            <w:shd w:fill="F6F6F6" w:val="clear"/>
            <w:tcMar>
              <w:top w:type="dxa" w:w="60"/>
              <w:left w:type="dxa" w:w="100"/>
              <w:bottom w:type="dxa" w:w="60"/>
              <w:right w:type="dxa" w:w="100"/>
            </w:tcMar>
          </w:tcPr>
          <w:p>
            <w:pPr>
              <w:spacing w:line="240"/>
            </w:pPr>
            <w:r>
              <w:rPr>
                <w:rFonts w:ascii="Marianne" w:cs="Marianne" w:eastAsia="Marianne" w:hAnsi="Marianne"/>
                <w:color w:val="3A3A3A"/>
                <w:sz w:val="17"/>
                <w:szCs w:val="17"/>
              </w:rPr>
              <w:t xml:space="preserve">Catalogue IT</w:t>
            </w:r>
          </w:p>
        </w:tc>
        <w:tc>
          <w:tcPr>
            <w:tcW w:type="dxa" w:w="2888"/>
            <w:tcBorders>
              <w:top w:val="single" w:color="DDDDDD" w:sz="1"/>
              <w:left w:val="single" w:color="DDDDDD" w:sz="1"/>
              <w:bottom w:val="single" w:color="DDDDDD" w:sz="1"/>
              <w:right w:val="single" w:color="DDDDDD" w:sz="1"/>
            </w:tcBorders>
            <w:shd w:fill="F6F6F6" w:val="clear"/>
            <w:tcMar>
              <w:top w:type="dxa" w:w="60"/>
              <w:left w:type="dxa" w:w="100"/>
              <w:bottom w:type="dxa" w:w="60"/>
              <w:right w:type="dxa" w:w="100"/>
            </w:tcMar>
          </w:tcPr>
          <w:p>
            <w:pPr>
              <w:spacing w:line="240"/>
            </w:pPr>
            <w:r>
              <w:rPr>
                <w:rFonts w:ascii="Marianne" w:cs="Marianne" w:eastAsia="Marianne" w:hAnsi="Marianne"/>
                <w:color w:val="3A3A3A"/>
                <w:sz w:val="17"/>
                <w:szCs w:val="17"/>
              </w:rPr>
              <w:t xml:space="preserve">Catalogue de services</w:t>
            </w:r>
          </w:p>
        </w:tc>
        <w:tc>
          <w:tcPr>
            <w:tcW w:type="dxa" w:w="2256"/>
            <w:tcBorders>
              <w:top w:val="single" w:color="DDDDDD" w:sz="1"/>
              <w:left w:val="single" w:color="DDDDDD" w:sz="1"/>
              <w:bottom w:val="single" w:color="DDDDDD" w:sz="1"/>
              <w:right w:val="single" w:color="DDDDDD" w:sz="1"/>
            </w:tcBorders>
            <w:shd w:fill="F6F6F6" w:val="clear"/>
            <w:tcMar>
              <w:top w:type="dxa" w:w="60"/>
              <w:left w:type="dxa" w:w="100"/>
              <w:bottom w:type="dxa" w:w="60"/>
              <w:right w:type="dxa" w:w="100"/>
            </w:tcMar>
          </w:tcPr>
          <w:p>
            <w:pPr>
              <w:spacing w:line="240"/>
            </w:pPr>
            <w:r>
              <w:rPr>
                <w:rFonts w:ascii="Marianne" w:cs="Marianne" w:eastAsia="Marianne" w:hAnsi="Marianne"/>
                <w:color w:val="3A3A3A"/>
                <w:sz w:val="17"/>
                <w:szCs w:val="17"/>
              </w:rPr>
              <w:t xml:space="preserve">Non classifié</w:t>
            </w:r>
          </w:p>
        </w:tc>
        <w:tc>
          <w:tcPr>
            <w:tcW w:type="dxa" w:w="1807"/>
            <w:tcBorders>
              <w:top w:val="single" w:color="DDDDDD" w:sz="1"/>
              <w:left w:val="single" w:color="DDDDDD" w:sz="1"/>
              <w:bottom w:val="single" w:color="DDDDDD" w:sz="1"/>
              <w:right w:val="single" w:color="DDDDDD" w:sz="1"/>
            </w:tcBorders>
            <w:shd w:fill="F6F6F6" w:val="clear"/>
            <w:tcMar>
              <w:top w:type="dxa" w:w="60"/>
              <w:left w:type="dxa" w:w="100"/>
              <w:bottom w:type="dxa" w:w="60"/>
              <w:right w:type="dxa" w:w="100"/>
            </w:tcMar>
          </w:tcPr>
          <w:p>
            <w:pPr>
              <w:spacing w:line="240"/>
            </w:pPr>
            <w:r>
              <w:rPr>
                <w:rFonts w:ascii="Marianne" w:cs="Marianne" w:eastAsia="Marianne" w:hAnsi="Marianne"/>
                <w:color w:val="3A3A3A"/>
                <w:sz w:val="17"/>
                <w:szCs w:val="17"/>
              </w:rPr>
              <w:t xml:space="preserve">Vibe Lab</w:t>
            </w:r>
          </w:p>
        </w:tc>
      </w:tr>
      <w:tr>
        <w:tc>
          <w:tcPr>
            <w:tcW w:type="dxa" w:w="2075"/>
            <w:tcBorders>
              <w:top w:val="single" w:color="DDDDDD" w:sz="1"/>
              <w:left w:val="single" w:color="DDDDDD" w:sz="1"/>
              <w:bottom w:val="single" w:color="DDDDDD" w:sz="1"/>
              <w:right w:val="single" w:color="DDDDDD" w:sz="1"/>
            </w:tcBorders>
            <w:tcMar>
              <w:top w:type="dxa" w:w="60"/>
              <w:left w:type="dxa" w:w="100"/>
              <w:bottom w:type="dxa" w:w="60"/>
              <w:right w:type="dxa" w:w="100"/>
            </w:tcMar>
          </w:tcPr>
          <w:p>
            <w:pPr>
              <w:spacing w:line="240"/>
            </w:pPr>
            <w:r>
              <w:rPr>
                <w:rFonts w:ascii="Marianne" w:cs="Marianne" w:eastAsia="Marianne" w:hAnsi="Marianne"/>
                <w:color w:val="3A3A3A"/>
                <w:sz w:val="17"/>
                <w:szCs w:val="17"/>
              </w:rPr>
              <w:t xml:space="preserve">Doc. technique</w:t>
            </w:r>
          </w:p>
        </w:tc>
        <w:tc>
          <w:tcPr>
            <w:tcW w:type="dxa" w:w="2888"/>
            <w:tcBorders>
              <w:top w:val="single" w:color="DDDDDD" w:sz="1"/>
              <w:left w:val="single" w:color="DDDDDD" w:sz="1"/>
              <w:bottom w:val="single" w:color="DDDDDD" w:sz="1"/>
              <w:right w:val="single" w:color="DDDDDD" w:sz="1"/>
            </w:tcBorders>
            <w:tcMar>
              <w:top w:type="dxa" w:w="60"/>
              <w:left w:type="dxa" w:w="100"/>
              <w:bottom w:type="dxa" w:w="60"/>
              <w:right w:type="dxa" w:w="100"/>
            </w:tcMar>
          </w:tcPr>
          <w:p>
            <w:pPr>
              <w:spacing w:line="240"/>
            </w:pPr>
            <w:r>
              <w:rPr>
                <w:rFonts w:ascii="Marianne" w:cs="Marianne" w:eastAsia="Marianne" w:hAnsi="Marianne"/>
                <w:color w:val="3A3A3A"/>
                <w:sz w:val="17"/>
                <w:szCs w:val="17"/>
              </w:rPr>
              <w:t xml:space="preserve">Specs OpenAPI</w:t>
            </w:r>
          </w:p>
        </w:tc>
        <w:tc>
          <w:tcPr>
            <w:tcW w:type="dxa" w:w="2256"/>
            <w:tcBorders>
              <w:top w:val="single" w:color="DDDDDD" w:sz="1"/>
              <w:left w:val="single" w:color="DDDDDD" w:sz="1"/>
              <w:bottom w:val="single" w:color="DDDDDD" w:sz="1"/>
              <w:right w:val="single" w:color="DDDDDD" w:sz="1"/>
            </w:tcBorders>
            <w:tcMar>
              <w:top w:type="dxa" w:w="60"/>
              <w:left w:type="dxa" w:w="100"/>
              <w:bottom w:type="dxa" w:w="60"/>
              <w:right w:type="dxa" w:w="100"/>
            </w:tcMar>
          </w:tcPr>
          <w:p>
            <w:pPr>
              <w:spacing w:line="240"/>
            </w:pPr>
            <w:r>
              <w:rPr>
                <w:rFonts w:ascii="Marianne" w:cs="Marianne" w:eastAsia="Marianne" w:hAnsi="Marianne"/>
                <w:color w:val="3A3A3A"/>
                <w:sz w:val="17"/>
                <w:szCs w:val="17"/>
              </w:rPr>
              <w:t xml:space="preserve">Non classifié</w:t>
            </w:r>
          </w:p>
        </w:tc>
        <w:tc>
          <w:tcPr>
            <w:tcW w:type="dxa" w:w="1807"/>
            <w:tcBorders>
              <w:top w:val="single" w:color="DDDDDD" w:sz="1"/>
              <w:left w:val="single" w:color="DDDDDD" w:sz="1"/>
              <w:bottom w:val="single" w:color="DDDDDD" w:sz="1"/>
              <w:right w:val="single" w:color="DDDDDD" w:sz="1"/>
            </w:tcBorders>
            <w:tcMar>
              <w:top w:type="dxa" w:w="60"/>
              <w:left w:type="dxa" w:w="100"/>
              <w:bottom w:type="dxa" w:w="60"/>
              <w:right w:type="dxa" w:w="100"/>
            </w:tcMar>
          </w:tcPr>
          <w:p>
            <w:pPr>
              <w:spacing w:line="240"/>
            </w:pPr>
            <w:r>
              <w:rPr>
                <w:rFonts w:ascii="Marianne" w:cs="Marianne" w:eastAsia="Marianne" w:hAnsi="Marianne"/>
                <w:color w:val="3A3A3A"/>
                <w:sz w:val="17"/>
                <w:szCs w:val="17"/>
              </w:rPr>
              <w:t xml:space="preserve">Vibe Lab</w:t>
            </w:r>
          </w:p>
        </w:tc>
      </w:tr>
      <w:tr>
        <w:tc>
          <w:tcPr>
            <w:tcW w:type="dxa" w:w="2075"/>
            <w:tcBorders>
              <w:top w:val="single" w:color="DDDDDD" w:sz="1"/>
              <w:left w:val="single" w:color="DDDDDD" w:sz="1"/>
              <w:bottom w:val="single" w:color="DDDDDD" w:sz="1"/>
              <w:right w:val="single" w:color="DDDDDD" w:sz="1"/>
            </w:tcBorders>
            <w:shd w:fill="F6F6F6" w:val="clear"/>
            <w:tcMar>
              <w:top w:type="dxa" w:w="60"/>
              <w:left w:type="dxa" w:w="100"/>
              <w:bottom w:type="dxa" w:w="60"/>
              <w:right w:type="dxa" w:w="100"/>
            </w:tcMar>
          </w:tcPr>
          <w:p>
            <w:pPr>
              <w:spacing w:line="240"/>
            </w:pPr>
            <w:r>
              <w:rPr>
                <w:rFonts w:ascii="Marianne" w:cs="Marianne" w:eastAsia="Marianne" w:hAnsi="Marianne"/>
                <w:color w:val="3A3A3A"/>
                <w:sz w:val="17"/>
                <w:szCs w:val="17"/>
              </w:rPr>
              <w:t xml:space="preserve">Veille réglementaire</w:t>
            </w:r>
          </w:p>
        </w:tc>
        <w:tc>
          <w:tcPr>
            <w:tcW w:type="dxa" w:w="2888"/>
            <w:tcBorders>
              <w:top w:val="single" w:color="DDDDDD" w:sz="1"/>
              <w:left w:val="single" w:color="DDDDDD" w:sz="1"/>
              <w:bottom w:val="single" w:color="DDDDDD" w:sz="1"/>
              <w:right w:val="single" w:color="DDDDDD" w:sz="1"/>
            </w:tcBorders>
            <w:shd w:fill="F6F6F6" w:val="clear"/>
            <w:tcMar>
              <w:top w:type="dxa" w:w="60"/>
              <w:left w:type="dxa" w:w="100"/>
              <w:bottom w:type="dxa" w:w="60"/>
              <w:right w:type="dxa" w:w="100"/>
            </w:tcMar>
          </w:tcPr>
          <w:p>
            <w:pPr>
              <w:spacing w:line="240"/>
            </w:pPr>
            <w:r>
              <w:rPr>
                <w:rFonts w:ascii="Marianne" w:cs="Marianne" w:eastAsia="Marianne" w:hAnsi="Marianne"/>
                <w:color w:val="3A3A3A"/>
                <w:sz w:val="17"/>
                <w:szCs w:val="17"/>
              </w:rPr>
              <w:t xml:space="preserve">JORF, Légifrance</w:t>
            </w:r>
          </w:p>
        </w:tc>
        <w:tc>
          <w:tcPr>
            <w:tcW w:type="dxa" w:w="2256"/>
            <w:tcBorders>
              <w:top w:val="single" w:color="DDDDDD" w:sz="1"/>
              <w:left w:val="single" w:color="DDDDDD" w:sz="1"/>
              <w:bottom w:val="single" w:color="DDDDDD" w:sz="1"/>
              <w:right w:val="single" w:color="DDDDDD" w:sz="1"/>
            </w:tcBorders>
            <w:shd w:fill="F6F6F6" w:val="clear"/>
            <w:tcMar>
              <w:top w:type="dxa" w:w="60"/>
              <w:left w:type="dxa" w:w="100"/>
              <w:bottom w:type="dxa" w:w="60"/>
              <w:right w:type="dxa" w:w="100"/>
            </w:tcMar>
          </w:tcPr>
          <w:p>
            <w:pPr>
              <w:spacing w:line="240"/>
            </w:pPr>
            <w:r>
              <w:rPr>
                <w:rFonts w:ascii="Marianne" w:cs="Marianne" w:eastAsia="Marianne" w:hAnsi="Marianne"/>
                <w:color w:val="3A3A3A"/>
                <w:sz w:val="17"/>
                <w:szCs w:val="17"/>
              </w:rPr>
              <w:t xml:space="preserve">Données publiques</w:t>
            </w:r>
          </w:p>
        </w:tc>
        <w:tc>
          <w:tcPr>
            <w:tcW w:type="dxa" w:w="1807"/>
            <w:tcBorders>
              <w:top w:val="single" w:color="DDDDDD" w:sz="1"/>
              <w:left w:val="single" w:color="DDDDDD" w:sz="1"/>
              <w:bottom w:val="single" w:color="DDDDDD" w:sz="1"/>
              <w:right w:val="single" w:color="DDDDDD" w:sz="1"/>
            </w:tcBorders>
            <w:shd w:fill="F6F6F6" w:val="clear"/>
            <w:tcMar>
              <w:top w:type="dxa" w:w="60"/>
              <w:left w:type="dxa" w:w="100"/>
              <w:bottom w:type="dxa" w:w="60"/>
              <w:right w:type="dxa" w:w="100"/>
            </w:tcMar>
          </w:tcPr>
          <w:p>
            <w:pPr>
              <w:spacing w:line="240"/>
            </w:pPr>
            <w:r>
              <w:rPr>
                <w:rFonts w:ascii="Marianne" w:cs="Marianne" w:eastAsia="Marianne" w:hAnsi="Marianne"/>
                <w:color w:val="3A3A3A"/>
                <w:sz w:val="17"/>
                <w:szCs w:val="17"/>
              </w:rPr>
              <w:t xml:space="preserve">Vibe Lab</w:t>
            </w:r>
          </w:p>
        </w:tc>
      </w:tr>
      <w:tr>
        <w:tc>
          <w:tcPr>
            <w:tcW w:type="dxa" w:w="2075"/>
            <w:tcBorders>
              <w:top w:val="single" w:color="DDDDDD" w:sz="1"/>
              <w:left w:val="single" w:color="DDDDDD" w:sz="1"/>
              <w:bottom w:val="single" w:color="DDDDDD" w:sz="1"/>
              <w:right w:val="single" w:color="DDDDDD" w:sz="1"/>
            </w:tcBorders>
            <w:tcMar>
              <w:top w:type="dxa" w:w="60"/>
              <w:left w:type="dxa" w:w="100"/>
              <w:bottom w:type="dxa" w:w="60"/>
              <w:right w:type="dxa" w:w="100"/>
            </w:tcMar>
          </w:tcPr>
          <w:p>
            <w:pPr>
              <w:spacing w:line="240"/>
            </w:pPr>
            <w:r>
              <w:rPr>
                <w:rFonts w:ascii="Marianne" w:cs="Marianne" w:eastAsia="Marianne" w:hAnsi="Marianne"/>
                <w:color w:val="3A3A3A"/>
                <w:sz w:val="17"/>
                <w:szCs w:val="17"/>
              </w:rPr>
              <w:t xml:space="preserve">TB secrétariat général</w:t>
            </w:r>
          </w:p>
        </w:tc>
        <w:tc>
          <w:tcPr>
            <w:tcW w:type="dxa" w:w="2888"/>
            <w:tcBorders>
              <w:top w:val="single" w:color="DDDDDD" w:sz="1"/>
              <w:left w:val="single" w:color="DDDDDD" w:sz="1"/>
              <w:bottom w:val="single" w:color="DDDDDD" w:sz="1"/>
              <w:right w:val="single" w:color="DDDDDD" w:sz="1"/>
            </w:tcBorders>
            <w:tcMar>
              <w:top w:type="dxa" w:w="60"/>
              <w:left w:type="dxa" w:w="100"/>
              <w:bottom w:type="dxa" w:w="60"/>
              <w:right w:type="dxa" w:w="100"/>
            </w:tcMar>
          </w:tcPr>
          <w:p>
            <w:pPr>
              <w:spacing w:line="240"/>
            </w:pPr>
            <w:r>
              <w:rPr>
                <w:rFonts w:ascii="Marianne" w:cs="Marianne" w:eastAsia="Marianne" w:hAnsi="Marianne"/>
                <w:color w:val="3A3A3A"/>
                <w:sz w:val="17"/>
                <w:szCs w:val="17"/>
              </w:rPr>
              <w:t xml:space="preserve">data.gouv.fr, INSEE, DGAFP</w:t>
            </w:r>
          </w:p>
        </w:tc>
        <w:tc>
          <w:tcPr>
            <w:tcW w:type="dxa" w:w="2256"/>
            <w:tcBorders>
              <w:top w:val="single" w:color="DDDDDD" w:sz="1"/>
              <w:left w:val="single" w:color="DDDDDD" w:sz="1"/>
              <w:bottom w:val="single" w:color="DDDDDD" w:sz="1"/>
              <w:right w:val="single" w:color="DDDDDD" w:sz="1"/>
            </w:tcBorders>
            <w:tcMar>
              <w:top w:type="dxa" w:w="60"/>
              <w:left w:type="dxa" w:w="100"/>
              <w:bottom w:type="dxa" w:w="60"/>
              <w:right w:type="dxa" w:w="100"/>
            </w:tcMar>
          </w:tcPr>
          <w:p>
            <w:pPr>
              <w:spacing w:line="240"/>
            </w:pPr>
            <w:r>
              <w:rPr>
                <w:rFonts w:ascii="Marianne" w:cs="Marianne" w:eastAsia="Marianne" w:hAnsi="Marianne"/>
                <w:color w:val="3A3A3A"/>
                <w:sz w:val="17"/>
                <w:szCs w:val="17"/>
              </w:rPr>
              <w:t xml:space="preserve">Données publiques</w:t>
            </w:r>
          </w:p>
        </w:tc>
        <w:tc>
          <w:tcPr>
            <w:tcW w:type="dxa" w:w="1807"/>
            <w:tcBorders>
              <w:top w:val="single" w:color="DDDDDD" w:sz="1"/>
              <w:left w:val="single" w:color="DDDDDD" w:sz="1"/>
              <w:bottom w:val="single" w:color="DDDDDD" w:sz="1"/>
              <w:right w:val="single" w:color="DDDDDD" w:sz="1"/>
            </w:tcBorders>
            <w:tcMar>
              <w:top w:type="dxa" w:w="60"/>
              <w:left w:type="dxa" w:w="100"/>
              <w:bottom w:type="dxa" w:w="60"/>
              <w:right w:type="dxa" w:w="100"/>
            </w:tcMar>
          </w:tcPr>
          <w:p>
            <w:pPr>
              <w:spacing w:line="240"/>
            </w:pPr>
            <w:r>
              <w:rPr>
                <w:rFonts w:ascii="Marianne" w:cs="Marianne" w:eastAsia="Marianne" w:hAnsi="Marianne"/>
                <w:color w:val="3A3A3A"/>
                <w:sz w:val="17"/>
                <w:szCs w:val="17"/>
              </w:rPr>
              <w:t xml:space="preserve">Vibe Lab</w:t>
            </w:r>
          </w:p>
        </w:tc>
      </w:tr>
      <w:tr>
        <w:tc>
          <w:tcPr>
            <w:tcW w:type="dxa" w:w="2075"/>
            <w:tcBorders>
              <w:top w:val="single" w:color="DDDDDD" w:sz="1"/>
              <w:left w:val="single" w:color="DDDDDD" w:sz="1"/>
              <w:bottom w:val="single" w:color="DDDDDD" w:sz="1"/>
              <w:right w:val="single" w:color="DDDDDD" w:sz="1"/>
            </w:tcBorders>
            <w:shd w:fill="F6F6F6" w:val="clear"/>
            <w:tcMar>
              <w:top w:type="dxa" w:w="60"/>
              <w:left w:type="dxa" w:w="100"/>
              <w:bottom w:type="dxa" w:w="60"/>
              <w:right w:type="dxa" w:w="100"/>
            </w:tcMar>
          </w:tcPr>
          <w:p>
            <w:pPr>
              <w:spacing w:line="240"/>
            </w:pPr>
            <w:r>
              <w:rPr>
                <w:rFonts w:ascii="Marianne" w:cs="Marianne" w:eastAsia="Marianne" w:hAnsi="Marianne"/>
                <w:color w:val="3A3A3A"/>
                <w:sz w:val="17"/>
                <w:szCs w:val="17"/>
              </w:rPr>
              <w:t xml:space="preserve">Micro-learning</w:t>
            </w:r>
          </w:p>
        </w:tc>
        <w:tc>
          <w:tcPr>
            <w:tcW w:type="dxa" w:w="2888"/>
            <w:tcBorders>
              <w:top w:val="single" w:color="DDDDDD" w:sz="1"/>
              <w:left w:val="single" w:color="DDDDDD" w:sz="1"/>
              <w:bottom w:val="single" w:color="DDDDDD" w:sz="1"/>
              <w:right w:val="single" w:color="DDDDDD" w:sz="1"/>
            </w:tcBorders>
            <w:shd w:fill="F6F6F6" w:val="clear"/>
            <w:tcMar>
              <w:top w:type="dxa" w:w="60"/>
              <w:left w:type="dxa" w:w="100"/>
              <w:bottom w:type="dxa" w:w="60"/>
              <w:right w:type="dxa" w:w="100"/>
            </w:tcMar>
          </w:tcPr>
          <w:p>
            <w:pPr>
              <w:spacing w:line="240"/>
            </w:pPr>
            <w:r>
              <w:rPr>
                <w:rFonts w:ascii="Marianne" w:cs="Marianne" w:eastAsia="Marianne" w:hAnsi="Marianne"/>
                <w:color w:val="3A3A3A"/>
                <w:sz w:val="17"/>
                <w:szCs w:val="17"/>
              </w:rPr>
              <w:t xml:space="preserve">Circulaires, guides</w:t>
            </w:r>
          </w:p>
        </w:tc>
        <w:tc>
          <w:tcPr>
            <w:tcW w:type="dxa" w:w="2256"/>
            <w:tcBorders>
              <w:top w:val="single" w:color="DDDDDD" w:sz="1"/>
              <w:left w:val="single" w:color="DDDDDD" w:sz="1"/>
              <w:bottom w:val="single" w:color="DDDDDD" w:sz="1"/>
              <w:right w:val="single" w:color="DDDDDD" w:sz="1"/>
            </w:tcBorders>
            <w:shd w:fill="F6F6F6" w:val="clear"/>
            <w:tcMar>
              <w:top w:type="dxa" w:w="60"/>
              <w:left w:type="dxa" w:w="100"/>
              <w:bottom w:type="dxa" w:w="60"/>
              <w:right w:type="dxa" w:w="100"/>
            </w:tcMar>
          </w:tcPr>
          <w:p>
            <w:pPr>
              <w:spacing w:line="240"/>
            </w:pPr>
            <w:r>
              <w:rPr>
                <w:rFonts w:ascii="Marianne" w:cs="Marianne" w:eastAsia="Marianne" w:hAnsi="Marianne"/>
                <w:color w:val="3A3A3A"/>
                <w:sz w:val="17"/>
                <w:szCs w:val="17"/>
              </w:rPr>
              <w:t xml:space="preserve">Non classifié</w:t>
            </w:r>
          </w:p>
        </w:tc>
        <w:tc>
          <w:tcPr>
            <w:tcW w:type="dxa" w:w="1807"/>
            <w:tcBorders>
              <w:top w:val="single" w:color="DDDDDD" w:sz="1"/>
              <w:left w:val="single" w:color="DDDDDD" w:sz="1"/>
              <w:bottom w:val="single" w:color="DDDDDD" w:sz="1"/>
              <w:right w:val="single" w:color="DDDDDD" w:sz="1"/>
            </w:tcBorders>
            <w:shd w:fill="F6F6F6" w:val="clear"/>
            <w:tcMar>
              <w:top w:type="dxa" w:w="60"/>
              <w:left w:type="dxa" w:w="100"/>
              <w:bottom w:type="dxa" w:w="60"/>
              <w:right w:type="dxa" w:w="100"/>
            </w:tcMar>
          </w:tcPr>
          <w:p>
            <w:pPr>
              <w:spacing w:line="240"/>
            </w:pPr>
            <w:r>
              <w:rPr>
                <w:rFonts w:ascii="Marianne" w:cs="Marianne" w:eastAsia="Marianne" w:hAnsi="Marianne"/>
                <w:color w:val="3A3A3A"/>
                <w:sz w:val="17"/>
                <w:szCs w:val="17"/>
              </w:rPr>
              <w:t xml:space="preserve">Vibe Lab</w:t>
            </w:r>
          </w:p>
        </w:tc>
      </w:tr>
      <w:tr>
        <w:tc>
          <w:tcPr>
            <w:tcW w:type="dxa" w:w="2075"/>
            <w:tcBorders>
              <w:top w:val="single" w:color="DDDDDD" w:sz="1"/>
              <w:left w:val="single" w:color="DDDDDD" w:sz="1"/>
              <w:bottom w:val="single" w:color="DDDDDD" w:sz="1"/>
              <w:right w:val="single" w:color="DDDDDD" w:sz="1"/>
            </w:tcBorders>
            <w:tcMar>
              <w:top w:type="dxa" w:w="60"/>
              <w:left w:type="dxa" w:w="100"/>
              <w:bottom w:type="dxa" w:w="60"/>
              <w:right w:type="dxa" w:w="100"/>
            </w:tcMar>
          </w:tcPr>
          <w:p>
            <w:pPr>
              <w:spacing w:line="240"/>
            </w:pPr>
            <w:r>
              <w:rPr>
                <w:rFonts w:ascii="Marianne" w:cs="Marianne" w:eastAsia="Marianne" w:hAnsi="Marianne"/>
                <w:color w:val="3A3A3A"/>
                <w:sz w:val="17"/>
                <w:szCs w:val="17"/>
              </w:rPr>
              <w:t xml:space="preserve">Base de connaissance</w:t>
            </w:r>
          </w:p>
        </w:tc>
        <w:tc>
          <w:tcPr>
            <w:tcW w:type="dxa" w:w="2888"/>
            <w:tcBorders>
              <w:top w:val="single" w:color="DDDDDD" w:sz="1"/>
              <w:left w:val="single" w:color="DDDDDD" w:sz="1"/>
              <w:bottom w:val="single" w:color="DDDDDD" w:sz="1"/>
              <w:right w:val="single" w:color="DDDDDD" w:sz="1"/>
            </w:tcBorders>
            <w:tcMar>
              <w:top w:type="dxa" w:w="60"/>
              <w:left w:type="dxa" w:w="100"/>
              <w:bottom w:type="dxa" w:w="60"/>
              <w:right w:type="dxa" w:w="100"/>
            </w:tcMar>
          </w:tcPr>
          <w:p>
            <w:pPr>
              <w:spacing w:line="240"/>
            </w:pPr>
            <w:r>
              <w:rPr>
                <w:rFonts w:ascii="Marianne" w:cs="Marianne" w:eastAsia="Marianne" w:hAnsi="Marianne"/>
                <w:color w:val="3A3A3A"/>
                <w:sz w:val="17"/>
                <w:szCs w:val="17"/>
              </w:rPr>
              <w:t xml:space="preserve">Procédures SG</w:t>
            </w:r>
          </w:p>
        </w:tc>
        <w:tc>
          <w:tcPr>
            <w:tcW w:type="dxa" w:w="2256"/>
            <w:tcBorders>
              <w:top w:val="single" w:color="DDDDDD" w:sz="1"/>
              <w:left w:val="single" w:color="DDDDDD" w:sz="1"/>
              <w:bottom w:val="single" w:color="DDDDDD" w:sz="1"/>
              <w:right w:val="single" w:color="DDDDDD" w:sz="1"/>
            </w:tcBorders>
            <w:tcMar>
              <w:top w:type="dxa" w:w="60"/>
              <w:left w:type="dxa" w:w="100"/>
              <w:bottom w:type="dxa" w:w="60"/>
              <w:right w:type="dxa" w:w="100"/>
            </w:tcMar>
          </w:tcPr>
          <w:p>
            <w:pPr>
              <w:spacing w:line="240"/>
            </w:pPr>
            <w:r>
              <w:rPr>
                <w:rFonts w:ascii="Marianne" w:cs="Marianne" w:eastAsia="Marianne" w:hAnsi="Marianne"/>
                <w:color w:val="3A3A3A"/>
                <w:sz w:val="17"/>
                <w:szCs w:val="17"/>
              </w:rPr>
              <w:t xml:space="preserve">Non classifié</w:t>
            </w:r>
          </w:p>
        </w:tc>
        <w:tc>
          <w:tcPr>
            <w:tcW w:type="dxa" w:w="1807"/>
            <w:tcBorders>
              <w:top w:val="single" w:color="DDDDDD" w:sz="1"/>
              <w:left w:val="single" w:color="DDDDDD" w:sz="1"/>
              <w:bottom w:val="single" w:color="DDDDDD" w:sz="1"/>
              <w:right w:val="single" w:color="DDDDDD" w:sz="1"/>
            </w:tcBorders>
            <w:tcMar>
              <w:top w:type="dxa" w:w="60"/>
              <w:left w:type="dxa" w:w="100"/>
              <w:bottom w:type="dxa" w:w="60"/>
              <w:right w:type="dxa" w:w="100"/>
            </w:tcMar>
          </w:tcPr>
          <w:p>
            <w:pPr>
              <w:spacing w:line="240"/>
            </w:pPr>
            <w:r>
              <w:rPr>
                <w:rFonts w:ascii="Marianne" w:cs="Marianne" w:eastAsia="Marianne" w:hAnsi="Marianne"/>
                <w:color w:val="3A3A3A"/>
                <w:sz w:val="17"/>
                <w:szCs w:val="17"/>
              </w:rPr>
              <w:t xml:space="preserve">Vibe Lab</w:t>
            </w:r>
          </w:p>
        </w:tc>
      </w:tr>
    </w:tbl>
    <w:p>
      <w:pPr>
        <w:spacing w:before="16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18753C" w:sz="12"/>
              <w:bottom w:val="none"/>
              <w:right w:val="none"/>
            </w:tcBorders>
            <w:shd w:fill="E6F5EC" w:val="clear"/>
            <w:tcMar>
              <w:top w:type="dxa" w:w="160"/>
              <w:left w:type="dxa" w:w="240"/>
              <w:bottom w:type="dxa" w:w="160"/>
              <w:right w:type="dxa" w:w="240"/>
            </w:tcMar>
          </w:tcPr>
          <w:p>
            <w:pPr>
              <w:spacing w:before="40" w:after="40" w:line="276"/>
            </w:pPr>
            <w:r>
              <w:rPr>
                <w:rFonts w:ascii="Marianne" w:cs="Marianne" w:eastAsia="Marianne" w:hAnsi="Marianne"/>
                <w:b/>
                <w:bCs/>
                <w:color w:val="18753C"/>
                <w:sz w:val="22"/>
                <w:szCs w:val="22"/>
              </w:rPr>
              <w:t xml:space="preserve">16 cas d’usage identifiés. 16 à 100 % dans le périmètre Vibe Lab. 0 interférence avec BercyHub.</w:t>
            </w:r>
          </w:p>
        </w:tc>
      </w:tr>
    </w:tbl>
    <w:p>
      <w:pPr>
        <w:pStyle w:val="Heading1"/>
        <w:spacing w:before="400" w:after="200"/>
      </w:pPr>
      <w:r>
        <w:rPr>
          <w:rFonts w:ascii="Marianne" w:cs="Marianne" w:eastAsia="Marianne" w:hAnsi="Marianne"/>
          <w:b/>
          <w:bCs/>
          <w:color w:val="000091"/>
          <w:sz w:val="32"/>
          <w:szCs w:val="32"/>
        </w:rPr>
        <w:t xml:space="preserve">10. Scénario d’articulation avec BercyHub</w:t>
      </w:r>
    </w:p>
    <w:p>
      <w:pPr>
        <w:spacing w:before="80" w:after="80" w:line="276"/>
        <w:jc w:val="both"/>
      </w:pPr>
      <w:r>
        <w:rPr>
          <w:rFonts w:ascii="Marianne" w:cs="Marianne" w:eastAsia="Marianne" w:hAnsi="Marianne"/>
          <w:color w:val="3A3A3A"/>
          <w:sz w:val="21"/>
          <w:szCs w:val="21"/>
        </w:rPr>
        <w:t xml:space="preserve">L’articulation entre les deux structures peut suivre un modèle simple et vertueux :</w:t>
      </w:r>
    </w:p>
    <w:p>
      <w:pPr>
        <w:spacing w:before="8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000091" w:sz="12"/>
              <w:bottom w:val="none"/>
              <w:right w:val="none"/>
            </w:tcBorders>
            <w:shd w:fill="E3E3FD" w:val="clear"/>
            <w:tcMar>
              <w:top w:type="dxa" w:w="160"/>
              <w:left w:type="dxa" w:w="240"/>
              <w:bottom w:type="dxa" w:w="160"/>
              <w:right w:type="dxa" w:w="240"/>
            </w:tcMar>
          </w:tcPr>
          <w:p>
            <w:pPr>
              <w:spacing w:before="40" w:after="40" w:line="276"/>
            </w:pPr>
            <w:r>
              <w:rPr>
                <w:rFonts w:ascii="Marianne" w:cs="Marianne" w:eastAsia="Marianne" w:hAnsi="Marianne"/>
                <w:b/>
                <w:bCs/>
                <w:color w:val="000091"/>
                <w:sz w:val="22"/>
                <w:szCs w:val="22"/>
              </w:rPr>
              <w:t xml:space="preserve">Étape 1 — Le Vibe Lab explore</w:t>
            </w:r>
          </w:p>
          <w:p>
            <w:pPr>
              <w:spacing w:before="40" w:after="40" w:line="276"/>
            </w:pPr>
            <w:r>
              <w:rPr>
                <w:rFonts w:ascii="Marianne" w:cs="Marianne" w:eastAsia="Marianne" w:hAnsi="Marianne"/>
                <w:color w:val="3A3A3A"/>
                <w:sz w:val="21"/>
                <w:szCs w:val="21"/>
              </w:rPr>
              <w:t xml:space="preserve">Le Lab identifie un besoin, produit un prototype fonctionnel sur données publiques ou agrégées, teste avec les utilisateurs, et valide le concept.</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b/>
                <w:bCs/>
                <w:color w:val="000091"/>
                <w:sz w:val="22"/>
                <w:szCs w:val="22"/>
              </w:rPr>
              <w:t xml:space="preserve">Étape 2 — La direction arbitre</w:t>
            </w:r>
          </w:p>
          <w:p>
            <w:pPr>
              <w:spacing w:before="40" w:after="40" w:line="276"/>
            </w:pPr>
            <w:r>
              <w:rPr>
                <w:rFonts w:ascii="Marianne" w:cs="Marianne" w:eastAsia="Marianne" w:hAnsi="Marianne"/>
                <w:color w:val="3A3A3A"/>
                <w:sz w:val="21"/>
                <w:szCs w:val="21"/>
              </w:rPr>
              <w:t xml:space="preserve">Si le prototype est validé et que le besoin justifie un traitement sur données sensibles, le projet est transféré à BercyHub pour industrialisation souveraine.</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b/>
                <w:bCs/>
                <w:color w:val="000091"/>
                <w:sz w:val="22"/>
                <w:szCs w:val="22"/>
              </w:rPr>
              <w:t xml:space="preserve">Étape 3 — BercyHub industrialise</w:t>
            </w:r>
          </w:p>
          <w:p>
            <w:pPr>
              <w:spacing w:before="40" w:after="40" w:line="276"/>
            </w:pPr>
            <w:r>
              <w:rPr>
                <w:rFonts w:ascii="Marianne" w:cs="Marianne" w:eastAsia="Marianne" w:hAnsi="Marianne"/>
                <w:color w:val="3A3A3A"/>
                <w:sz w:val="21"/>
                <w:szCs w:val="21"/>
              </w:rPr>
              <w:t xml:space="preserve">BercyHub reprend le concept validé, le connecte aux SI métier et aux données sensibles, dans le cadre d’une homologation de sécurité.</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b/>
                <w:bCs/>
                <w:i/>
                <w:iCs/>
                <w:color w:val="3A3A3A"/>
                <w:sz w:val="21"/>
                <w:szCs w:val="21"/>
              </w:rPr>
              <w:t xml:space="preserve">Le Vibe Lab devient un éclaireur : il dérisque les projets avant qu’ils ne mobilisent des moyens lourds. BercyHub gagne un pipeline de projets déjà validés par l’usage.</w:t>
            </w:r>
          </w:p>
        </w:tc>
      </w:tr>
    </w:tbl>
    <w:p>
      <w:pPr>
        <w:spacing w:before="120" w:after="0"/>
      </w:pPr>
    </w:p>
    <w:p>
      <w:pPr>
        <w:spacing w:before="120" w:after="80"/>
      </w:pPr>
      <w:r>
        <w:rPr>
          <w:rFonts w:ascii="Marianne" w:cs="Marianne" w:eastAsia="Marianne" w:hAnsi="Marianne"/>
          <w:b/>
          <w:bCs/>
          <w:color w:val="000091"/>
          <w:sz w:val="22"/>
          <w:szCs w:val="22"/>
        </w:rPr>
        <w:t xml:space="preserve">▶ Exemple concret : chatbot RH</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332"/>
        <w:gridCol w:w="4694"/>
      </w:tblGrid>
      <w:tr>
        <w:tc>
          <w:tcPr>
            <w:tcW w:type="dxa" w:w="4332"/>
            <w:tcBorders>
              <w:top w:val="single" w:color="E1000F" w:sz="3"/>
              <w:left w:val="single" w:color="DDDDDD" w:sz="1"/>
              <w:bottom w:val="single" w:color="DDDDDD" w:sz="1"/>
              <w:right w:val="single" w:color="EEEEEE" w:sz="1"/>
            </w:tcBorders>
            <w:shd w:fill="FFF3F3" w:val="clear"/>
            <w:tcMar>
              <w:top w:type="dxa" w:w="120"/>
              <w:left w:type="dxa" w:w="180"/>
              <w:bottom w:type="dxa" w:w="120"/>
              <w:right w:type="dxa" w:w="140"/>
            </w:tcMar>
          </w:tcPr>
          <w:p>
            <w:pPr>
              <w:spacing w:after="60"/>
            </w:pPr>
            <w:r>
              <w:rPr>
                <w:rFonts w:ascii="Marianne" w:cs="Marianne" w:eastAsia="Marianne" w:hAnsi="Marianne"/>
                <w:b/>
                <w:bCs/>
                <w:color w:val="E1000F"/>
                <w:sz w:val="18"/>
                <w:szCs w:val="18"/>
              </w:rPr>
              <w:t xml:space="preserve">Aujourd’hui</w:t>
            </w:r>
          </w:p>
          <w:p>
            <w:pPr>
              <w:spacing w:line="260"/>
            </w:pPr>
            <w:r>
              <w:rPr>
                <w:rFonts w:ascii="Marianne" w:cs="Marianne" w:eastAsia="Marianne" w:hAnsi="Marianne"/>
                <w:color w:val="3A3A3A"/>
                <w:sz w:val="19"/>
                <w:szCs w:val="19"/>
              </w:rPr>
              <w:t xml:space="preserve">BercyHub développe un chatbot RH souverain connecté au SIRH. Projet de 6 à 12 mois, homologation requise, budget significatif. Risque : le besoin est mal cadré ou l’interface ne convient pas.</w:t>
            </w:r>
          </w:p>
        </w:tc>
        <w:tc>
          <w:tcPr>
            <w:tcW w:type="dxa" w:w="4694"/>
            <w:tcBorders>
              <w:top w:val="single" w:color="18753C" w:sz="3"/>
              <w:left w:val="single" w:color="EEEEEE" w:sz="1"/>
              <w:bottom w:val="single" w:color="DDDDDD" w:sz="1"/>
              <w:right w:val="single" w:color="DDDDDD" w:sz="1"/>
            </w:tcBorders>
            <w:shd w:fill="E6F5EC" w:val="clear"/>
            <w:tcMar>
              <w:top w:type="dxa" w:w="120"/>
              <w:left w:type="dxa" w:w="140"/>
              <w:bottom w:type="dxa" w:w="120"/>
              <w:right w:type="dxa" w:w="180"/>
            </w:tcMar>
          </w:tcPr>
          <w:p>
            <w:pPr>
              <w:spacing w:after="60"/>
            </w:pPr>
            <w:r>
              <w:rPr>
                <w:rFonts w:ascii="Marianne" w:cs="Marianne" w:eastAsia="Marianne" w:hAnsi="Marianne"/>
                <w:b/>
                <w:bCs/>
                <w:color w:val="18753C"/>
                <w:sz w:val="18"/>
                <w:szCs w:val="18"/>
              </w:rPr>
              <w:t xml:space="preserve">Avec le Vibe Lab</w:t>
            </w:r>
          </w:p>
          <w:p>
            <w:pPr>
              <w:spacing w:line="260"/>
            </w:pPr>
            <w:r>
              <w:rPr>
                <w:rFonts w:ascii="Marianne" w:cs="Marianne" w:eastAsia="Marianne" w:hAnsi="Marianne"/>
                <w:color w:val="3A3A3A"/>
                <w:sz w:val="19"/>
                <w:szCs w:val="19"/>
              </w:rPr>
              <w:t xml:space="preserve">Le Vibe Lab produit en 2 semaines un chatbot sur la documentation RH publique. 50 agents le testent. On identifie les 20 questions les plus fréquentes et les lacunes documentaires. BercyHub reprend ces retours pour cibler son développement souverain.</w:t>
            </w:r>
          </w:p>
        </w:tc>
      </w:tr>
    </w:tbl>
    <w:p>
      <w:r>
        <w:br w:type="page"/>
      </w:r>
    </w:p>
    <w:p>
      <w:pPr>
        <w:pStyle w:val="Heading1"/>
        <w:spacing w:before="400" w:after="200"/>
      </w:pPr>
      <w:r>
        <w:rPr>
          <w:rFonts w:ascii="Marianne" w:cs="Marianne" w:eastAsia="Marianne" w:hAnsi="Marianne"/>
          <w:b/>
          <w:bCs/>
          <w:color w:val="000091"/>
          <w:sz w:val="32"/>
          <w:szCs w:val="32"/>
        </w:rPr>
        <w:t xml:space="preserve">11. Ce que ça demande</w:t>
      </w:r>
    </w:p>
    <w:p>
      <w:pPr>
        <w:spacing w:before="80" w:after="80" w:line="276"/>
        <w:jc w:val="both"/>
      </w:pPr>
      <w:r>
        <w:rPr>
          <w:rFonts w:ascii="Marianne" w:cs="Marianne" w:eastAsia="Marianne" w:hAnsi="Marianne"/>
          <w:color w:val="3A3A3A"/>
          <w:sz w:val="21"/>
          <w:szCs w:val="21"/>
        </w:rPr>
        <w:t xml:space="preserve">L’élargissement du Vibe Lab aux fonctions support du secrétariat général ne nécessite pas un changement de modèle. Le même dispositif s’applique :</w:t>
      </w:r>
    </w:p>
    <w:p>
      <w:pPr>
        <w:spacing w:before="8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18753C" w:sz="12"/>
              <w:bottom w:val="none"/>
              <w:right w:val="none"/>
            </w:tcBorders>
            <w:shd w:fill="E6F5EC" w:val="clear"/>
            <w:tcMar>
              <w:top w:type="dxa" w:w="160"/>
              <w:left w:type="dxa" w:w="240"/>
              <w:bottom w:type="dxa" w:w="160"/>
              <w:right w:type="dxa" w:w="240"/>
            </w:tcMar>
          </w:tcPr>
          <w:p>
            <w:pPr>
              <w:spacing w:before="40" w:after="40" w:line="276"/>
            </w:pPr>
            <w:r>
              <w:rPr>
                <w:rFonts w:ascii="Marianne" w:cs="Marianne" w:eastAsia="Marianne" w:hAnsi="Marianne"/>
                <w:b/>
                <w:bCs/>
                <w:color w:val="18753C"/>
                <w:sz w:val="24"/>
                <w:szCs w:val="24"/>
              </w:rPr>
              <w:t xml:space="preserve">1 à 3 agents dédiés à temps plein</w:t>
            </w:r>
          </w:p>
          <w:p>
            <w:pPr>
              <w:spacing w:before="40" w:after="40" w:line="276"/>
            </w:pPr>
            <w:r>
              <w:rPr>
                <w:rFonts w:ascii="Marianne" w:cs="Marianne" w:eastAsia="Marianne" w:hAnsi="Marianne"/>
                <w:color w:val="3A3A3A"/>
                <w:sz w:val="21"/>
                <w:szCs w:val="21"/>
              </w:rPr>
              <w:t xml:space="preserve">Les mêmes profils que pour le périmètre communication, avec une connaissance élargie des métiers du secrétariat général. Le recrutement peut se faire progressivement : 1 agent supplémentaire par périmètre ouvert.</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b/>
                <w:bCs/>
                <w:color w:val="18753C"/>
                <w:sz w:val="24"/>
                <w:szCs w:val="24"/>
              </w:rPr>
              <w:t xml:space="preserve">~1 000 €/mois de licences IA</w:t>
            </w:r>
          </w:p>
          <w:p>
            <w:pPr>
              <w:spacing w:before="40" w:after="40" w:line="276"/>
            </w:pPr>
            <w:r>
              <w:rPr>
                <w:rFonts w:ascii="Marianne" w:cs="Marianne" w:eastAsia="Marianne" w:hAnsi="Marianne"/>
                <w:color w:val="3A3A3A"/>
                <w:sz w:val="21"/>
                <w:szCs w:val="21"/>
              </w:rPr>
              <w:t xml:space="preserve">Montant inchangé : les licences sont par agent, pas par projet. Ajouter des cas d’usage ne coûte pas plus cher en licences.</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b/>
                <w:bCs/>
                <w:color w:val="18753C"/>
                <w:sz w:val="24"/>
                <w:szCs w:val="24"/>
              </w:rPr>
              <w:t xml:space="preserve">Un backlog partagé avec les directions</w:t>
            </w:r>
          </w:p>
          <w:p>
            <w:pPr>
              <w:spacing w:before="40" w:after="40" w:line="276"/>
            </w:pPr>
            <w:r>
              <w:rPr>
                <w:rFonts w:ascii="Marianne" w:cs="Marianne" w:eastAsia="Marianne" w:hAnsi="Marianne"/>
                <w:color w:val="3A3A3A"/>
                <w:sz w:val="21"/>
                <w:szCs w:val="21"/>
              </w:rPr>
              <w:t xml:space="preserve">Chaque direction concernée (DRH, DAF, SG Immobilier, DSI) propose des besoins. Le Vibe Lab priorise avec un comité mensuel. Les prototypes sont livrés en sprints de 1 à 2 semaines.</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b/>
                <w:bCs/>
                <w:color w:val="18753C"/>
                <w:sz w:val="24"/>
                <w:szCs w:val="24"/>
              </w:rPr>
              <w:t xml:space="preserve">Une coordination légère avec BercyHub</w:t>
            </w:r>
          </w:p>
          <w:p>
            <w:pPr>
              <w:spacing w:before="40" w:after="40" w:line="276"/>
            </w:pPr>
            <w:r>
              <w:rPr>
                <w:rFonts w:ascii="Marianne" w:cs="Marianne" w:eastAsia="Marianne" w:hAnsi="Marianne"/>
                <w:color w:val="3A3A3A"/>
                <w:sz w:val="21"/>
                <w:szCs w:val="21"/>
              </w:rPr>
              <w:t xml:space="preserve">Un point trimestriel suffit : revue des projets en cours, identification des transferts possibles, partage des retours d’expérience. Pas de gouvernance lourde.</w:t>
            </w:r>
          </w:p>
        </w:tc>
      </w:tr>
    </w:tbl>
    <w:p>
      <w:pPr>
        <w:spacing w:before="160" w:after="0"/>
      </w:pPr>
    </w:p>
    <w:p>
      <w:pPr>
        <w:pStyle w:val="Heading2"/>
        <w:spacing w:before="300" w:after="140"/>
      </w:pPr>
      <w:r>
        <w:rPr>
          <w:rFonts w:ascii="Marianne" w:cs="Marianne" w:eastAsia="Marianne" w:hAnsi="Marianne"/>
          <w:b/>
          <w:bCs/>
          <w:color w:val="000091"/>
          <w:sz w:val="26"/>
          <w:szCs w:val="26"/>
        </w:rPr>
        <w:t xml:space="preserve">11.1 Montée en charge progressive</w:t>
      </w:r>
    </w:p>
    <w:p>
      <w:pPr>
        <w:spacing w:before="80" w:after="80" w:line="276"/>
        <w:jc w:val="both"/>
      </w:pPr>
      <w:r>
        <w:rPr>
          <w:rFonts w:ascii="Marianne" w:cs="Marianne" w:eastAsia="Marianne" w:hAnsi="Marianne"/>
          <w:color w:val="3A3A3A"/>
          <w:sz w:val="21"/>
          <w:szCs w:val="21"/>
        </w:rPr>
        <w:t xml:space="preserve">L’élargissement n’a pas besoin d’être simultané. Un scénario réaliste :</w:t>
      </w:r>
    </w:p>
    <w:p>
      <w:pPr>
        <w:spacing w:before="6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805"/>
        <w:gridCol w:w="3610"/>
        <w:gridCol w:w="3611"/>
      </w:tblGrid>
      <w:tr>
        <w:tc>
          <w:tcPr>
            <w:tcW w:type="dxa" w:w="1805"/>
            <w:tcBorders>
              <w:top w:val="single" w:color="DDDDDD" w:sz="1"/>
              <w:left w:val="single" w:color="DDDDDD" w:sz="1"/>
              <w:bottom w:val="single" w:color="DDDDDD" w:sz="1"/>
              <w:right w:val="single" w:color="DDDDDD" w:sz="1"/>
            </w:tcBorders>
            <w:shd w:fill="000091" w:val="clear"/>
            <w:tcMar>
              <w:top w:type="dxa" w:w="80"/>
              <w:left w:type="dxa" w:w="120"/>
              <w:bottom w:type="dxa" w:w="80"/>
              <w:right w:type="dxa" w:w="120"/>
            </w:tcMar>
          </w:tcPr>
          <w:p>
            <w:r>
              <w:rPr>
                <w:rFonts w:ascii="Marianne" w:cs="Marianne" w:eastAsia="Marianne" w:hAnsi="Marianne"/>
                <w:b/>
                <w:bCs/>
                <w:color w:val="FFFFFF"/>
                <w:sz w:val="18"/>
                <w:szCs w:val="18"/>
              </w:rPr>
              <w:t xml:space="preserve">Phase</w:t>
            </w:r>
          </w:p>
        </w:tc>
        <w:tc>
          <w:tcPr>
            <w:tcW w:type="dxa" w:w="3610"/>
            <w:tcBorders>
              <w:top w:val="single" w:color="DDDDDD" w:sz="1"/>
              <w:left w:val="single" w:color="DDDDDD" w:sz="1"/>
              <w:bottom w:val="single" w:color="DDDDDD" w:sz="1"/>
              <w:right w:val="single" w:color="DDDDDD" w:sz="1"/>
            </w:tcBorders>
            <w:shd w:fill="000091" w:val="clear"/>
            <w:tcMar>
              <w:top w:type="dxa" w:w="80"/>
              <w:left w:type="dxa" w:w="120"/>
              <w:bottom w:type="dxa" w:w="80"/>
              <w:right w:type="dxa" w:w="120"/>
            </w:tcMar>
          </w:tcPr>
          <w:p>
            <w:r>
              <w:rPr>
                <w:rFonts w:ascii="Marianne" w:cs="Marianne" w:eastAsia="Marianne" w:hAnsi="Marianne"/>
                <w:b/>
                <w:bCs/>
                <w:color w:val="FFFFFF"/>
                <w:sz w:val="18"/>
                <w:szCs w:val="18"/>
              </w:rPr>
              <w:t xml:space="preserve">Périmètre</w:t>
            </w:r>
          </w:p>
        </w:tc>
        <w:tc>
          <w:tcPr>
            <w:tcW w:type="dxa" w:w="3611"/>
            <w:tcBorders>
              <w:top w:val="single" w:color="DDDDDD" w:sz="1"/>
              <w:left w:val="single" w:color="DDDDDD" w:sz="1"/>
              <w:bottom w:val="single" w:color="DDDDDD" w:sz="1"/>
              <w:right w:val="single" w:color="DDDDDD" w:sz="1"/>
            </w:tcBorders>
            <w:shd w:fill="000091" w:val="clear"/>
            <w:tcMar>
              <w:top w:type="dxa" w:w="80"/>
              <w:left w:type="dxa" w:w="120"/>
              <w:bottom w:type="dxa" w:w="80"/>
              <w:right w:type="dxa" w:w="120"/>
            </w:tcMar>
          </w:tcPr>
          <w:p>
            <w:r>
              <w:rPr>
                <w:rFonts w:ascii="Marianne" w:cs="Marianne" w:eastAsia="Marianne" w:hAnsi="Marianne"/>
                <w:b/>
                <w:bCs/>
                <w:color w:val="FFFFFF"/>
                <w:sz w:val="18"/>
                <w:szCs w:val="18"/>
              </w:rPr>
              <w:t xml:space="preserve">Moyens</w:t>
            </w:r>
          </w:p>
        </w:tc>
      </w:tr>
      <w:tr>
        <w:tc>
          <w:tcPr>
            <w:tcW w:type="dxa" w:w="1805"/>
            <w:tcBorders>
              <w:top w:val="single" w:color="DDDDDD" w:sz="1"/>
              <w:left w:val="single" w:color="DDDDDD" w:sz="1"/>
              <w:bottom w:val="single" w:color="DDDDDD" w:sz="1"/>
              <w:right w:val="single" w:color="DDDDDD" w:sz="1"/>
            </w:tcBorders>
            <w:shd w:fill="F6F6F6" w:val="clear"/>
            <w:tcMar>
              <w:top w:type="dxa" w:w="80"/>
              <w:left w:type="dxa" w:w="120"/>
              <w:bottom w:type="dxa" w:w="80"/>
              <w:right w:type="dxa" w:w="120"/>
            </w:tcMar>
          </w:tcPr>
          <w:p>
            <w:pPr>
              <w:spacing w:line="260"/>
            </w:pPr>
            <w:r>
              <w:rPr>
                <w:rFonts w:ascii="Marianne" w:cs="Marianne" w:eastAsia="Marianne" w:hAnsi="Marianne"/>
                <w:color w:val="3A3A3A"/>
                <w:sz w:val="19"/>
                <w:szCs w:val="19"/>
              </w:rPr>
              <w:t xml:space="preserve">T0 – T+6</w:t>
            </w:r>
          </w:p>
        </w:tc>
        <w:tc>
          <w:tcPr>
            <w:tcW w:type="dxa" w:w="3610"/>
            <w:tcBorders>
              <w:top w:val="single" w:color="DDDDDD" w:sz="1"/>
              <w:left w:val="single" w:color="DDDDDD" w:sz="1"/>
              <w:bottom w:val="single" w:color="DDDDDD" w:sz="1"/>
              <w:right w:val="single" w:color="DDDDDD" w:sz="1"/>
            </w:tcBorders>
            <w:shd w:fill="F6F6F6" w:val="clear"/>
            <w:tcMar>
              <w:top w:type="dxa" w:w="80"/>
              <w:left w:type="dxa" w:w="120"/>
              <w:bottom w:type="dxa" w:w="80"/>
              <w:right w:type="dxa" w:w="120"/>
            </w:tcMar>
          </w:tcPr>
          <w:p>
            <w:pPr>
              <w:spacing w:line="260"/>
            </w:pPr>
            <w:r>
              <w:rPr>
                <w:rFonts w:ascii="Marianne" w:cs="Marianne" w:eastAsia="Marianne" w:hAnsi="Marianne"/>
                <w:color w:val="3A3A3A"/>
                <w:sz w:val="19"/>
                <w:szCs w:val="19"/>
              </w:rPr>
              <w:t xml:space="preserve">Communication (acquis) + 2-3 projets RH/formation</w:t>
            </w:r>
          </w:p>
        </w:tc>
        <w:tc>
          <w:tcPr>
            <w:tcW w:type="dxa" w:w="3611"/>
            <w:tcBorders>
              <w:top w:val="single" w:color="DDDDDD" w:sz="1"/>
              <w:left w:val="single" w:color="DDDDDD" w:sz="1"/>
              <w:bottom w:val="single" w:color="DDDDDD" w:sz="1"/>
              <w:right w:val="single" w:color="DDDDDD" w:sz="1"/>
            </w:tcBorders>
            <w:shd w:fill="F6F6F6" w:val="clear"/>
            <w:tcMar>
              <w:top w:type="dxa" w:w="80"/>
              <w:left w:type="dxa" w:w="120"/>
              <w:bottom w:type="dxa" w:w="80"/>
              <w:right w:type="dxa" w:w="120"/>
            </w:tcMar>
          </w:tcPr>
          <w:p>
            <w:pPr>
              <w:spacing w:line="260"/>
            </w:pPr>
            <w:r>
              <w:rPr>
                <w:rFonts w:ascii="Marianne" w:cs="Marianne" w:eastAsia="Marianne" w:hAnsi="Marianne"/>
                <w:color w:val="3A3A3A"/>
                <w:sz w:val="19"/>
                <w:szCs w:val="19"/>
              </w:rPr>
              <w:t xml:space="preserve">1 agent + licences existantes</w:t>
            </w:r>
          </w:p>
        </w:tc>
      </w:tr>
      <w:tr>
        <w:tc>
          <w:tcPr>
            <w:tcW w:type="dxa" w:w="1805"/>
            <w:tcBorders>
              <w:top w:val="single" w:color="DDDDDD" w:sz="1"/>
              <w:left w:val="single" w:color="DDDDDD" w:sz="1"/>
              <w:bottom w:val="single" w:color="DDDDDD" w:sz="1"/>
              <w:right w:val="single" w:color="DDDDDD" w:sz="1"/>
            </w:tcBorders>
            <w:tcMar>
              <w:top w:type="dxa" w:w="80"/>
              <w:left w:type="dxa" w:w="120"/>
              <w:bottom w:type="dxa" w:w="80"/>
              <w:right w:type="dxa" w:w="120"/>
            </w:tcMar>
          </w:tcPr>
          <w:p>
            <w:pPr>
              <w:spacing w:line="260"/>
            </w:pPr>
            <w:r>
              <w:rPr>
                <w:rFonts w:ascii="Marianne" w:cs="Marianne" w:eastAsia="Marianne" w:hAnsi="Marianne"/>
                <w:color w:val="3A3A3A"/>
                <w:sz w:val="19"/>
                <w:szCs w:val="19"/>
              </w:rPr>
              <w:t xml:space="preserve">T+6 – T+12</w:t>
            </w:r>
          </w:p>
        </w:tc>
        <w:tc>
          <w:tcPr>
            <w:tcW w:type="dxa" w:w="3610"/>
            <w:tcBorders>
              <w:top w:val="single" w:color="DDDDDD" w:sz="1"/>
              <w:left w:val="single" w:color="DDDDDD" w:sz="1"/>
              <w:bottom w:val="single" w:color="DDDDDD" w:sz="1"/>
              <w:right w:val="single" w:color="DDDDDD" w:sz="1"/>
            </w:tcBorders>
            <w:tcMar>
              <w:top w:type="dxa" w:w="80"/>
              <w:left w:type="dxa" w:w="120"/>
              <w:bottom w:type="dxa" w:w="80"/>
              <w:right w:type="dxa" w:w="120"/>
            </w:tcMar>
          </w:tcPr>
          <w:p>
            <w:pPr>
              <w:spacing w:line="260"/>
            </w:pPr>
            <w:r>
              <w:rPr>
                <w:rFonts w:ascii="Marianne" w:cs="Marianne" w:eastAsia="Marianne" w:hAnsi="Marianne"/>
                <w:color w:val="3A3A3A"/>
                <w:sz w:val="19"/>
                <w:szCs w:val="19"/>
              </w:rPr>
              <w:t xml:space="preserve">+ Finances/pilotage + coordination interministérielle</w:t>
            </w:r>
          </w:p>
        </w:tc>
        <w:tc>
          <w:tcPr>
            <w:tcW w:type="dxa" w:w="3611"/>
            <w:tcBorders>
              <w:top w:val="single" w:color="DDDDDD" w:sz="1"/>
              <w:left w:val="single" w:color="DDDDDD" w:sz="1"/>
              <w:bottom w:val="single" w:color="DDDDDD" w:sz="1"/>
              <w:right w:val="single" w:color="DDDDDD" w:sz="1"/>
            </w:tcBorders>
            <w:tcMar>
              <w:top w:type="dxa" w:w="80"/>
              <w:left w:type="dxa" w:w="120"/>
              <w:bottom w:type="dxa" w:w="80"/>
              <w:right w:type="dxa" w:w="120"/>
            </w:tcMar>
          </w:tcPr>
          <w:p>
            <w:pPr>
              <w:spacing w:line="260"/>
            </w:pPr>
            <w:r>
              <w:rPr>
                <w:rFonts w:ascii="Marianne" w:cs="Marianne" w:eastAsia="Marianne" w:hAnsi="Marianne"/>
                <w:color w:val="3A3A3A"/>
                <w:sz w:val="19"/>
                <w:szCs w:val="19"/>
              </w:rPr>
              <w:t xml:space="preserve">2 agents + backlog partagé</w:t>
            </w:r>
          </w:p>
        </w:tc>
      </w:tr>
      <w:tr>
        <w:tc>
          <w:tcPr>
            <w:tcW w:type="dxa" w:w="1805"/>
            <w:tcBorders>
              <w:top w:val="single" w:color="DDDDDD" w:sz="1"/>
              <w:left w:val="single" w:color="DDDDDD" w:sz="1"/>
              <w:bottom w:val="single" w:color="DDDDDD" w:sz="1"/>
              <w:right w:val="single" w:color="DDDDDD" w:sz="1"/>
            </w:tcBorders>
            <w:shd w:fill="F6F6F6" w:val="clear"/>
            <w:tcMar>
              <w:top w:type="dxa" w:w="80"/>
              <w:left w:type="dxa" w:w="120"/>
              <w:bottom w:type="dxa" w:w="80"/>
              <w:right w:type="dxa" w:w="120"/>
            </w:tcMar>
          </w:tcPr>
          <w:p>
            <w:pPr>
              <w:spacing w:line="260"/>
            </w:pPr>
            <w:r>
              <w:rPr>
                <w:rFonts w:ascii="Marianne" w:cs="Marianne" w:eastAsia="Marianne" w:hAnsi="Marianne"/>
                <w:color w:val="3A3A3A"/>
                <w:sz w:val="19"/>
                <w:szCs w:val="19"/>
              </w:rPr>
              <w:t xml:space="preserve">T+12 – T+18</w:t>
            </w:r>
          </w:p>
        </w:tc>
        <w:tc>
          <w:tcPr>
            <w:tcW w:type="dxa" w:w="3610"/>
            <w:tcBorders>
              <w:top w:val="single" w:color="DDDDDD" w:sz="1"/>
              <w:left w:val="single" w:color="DDDDDD" w:sz="1"/>
              <w:bottom w:val="single" w:color="DDDDDD" w:sz="1"/>
              <w:right w:val="single" w:color="DDDDDD" w:sz="1"/>
            </w:tcBorders>
            <w:shd w:fill="F6F6F6" w:val="clear"/>
            <w:tcMar>
              <w:top w:type="dxa" w:w="80"/>
              <w:left w:type="dxa" w:w="120"/>
              <w:bottom w:type="dxa" w:w="80"/>
              <w:right w:type="dxa" w:w="120"/>
            </w:tcMar>
          </w:tcPr>
          <w:p>
            <w:pPr>
              <w:spacing w:line="260"/>
            </w:pPr>
            <w:r>
              <w:rPr>
                <w:rFonts w:ascii="Marianne" w:cs="Marianne" w:eastAsia="Marianne" w:hAnsi="Marianne"/>
                <w:color w:val="3A3A3A"/>
                <w:sz w:val="19"/>
                <w:szCs w:val="19"/>
              </w:rPr>
              <w:t xml:space="preserve">+ Immobilier + DSI + périmètre complet SG</w:t>
            </w:r>
          </w:p>
        </w:tc>
        <w:tc>
          <w:tcPr>
            <w:tcW w:type="dxa" w:w="3611"/>
            <w:tcBorders>
              <w:top w:val="single" w:color="DDDDDD" w:sz="1"/>
              <w:left w:val="single" w:color="DDDDDD" w:sz="1"/>
              <w:bottom w:val="single" w:color="DDDDDD" w:sz="1"/>
              <w:right w:val="single" w:color="DDDDDD" w:sz="1"/>
            </w:tcBorders>
            <w:shd w:fill="F6F6F6" w:val="clear"/>
            <w:tcMar>
              <w:top w:type="dxa" w:w="80"/>
              <w:left w:type="dxa" w:w="120"/>
              <w:bottom w:type="dxa" w:w="80"/>
              <w:right w:type="dxa" w:w="120"/>
            </w:tcMar>
          </w:tcPr>
          <w:p>
            <w:pPr>
              <w:spacing w:line="260"/>
            </w:pPr>
            <w:r>
              <w:rPr>
                <w:rFonts w:ascii="Marianne" w:cs="Marianne" w:eastAsia="Marianne" w:hAnsi="Marianne"/>
                <w:color w:val="3A3A3A"/>
                <w:sz w:val="19"/>
                <w:szCs w:val="19"/>
              </w:rPr>
              <w:t xml:space="preserve">3 agents + gouvernance légère</w:t>
            </w:r>
          </w:p>
        </w:tc>
      </w:tr>
    </w:tbl>
    <w:p>
      <w:pPr>
        <w:pStyle w:val="Heading1"/>
        <w:spacing w:before="400" w:after="200"/>
      </w:pPr>
      <w:r>
        <w:rPr>
          <w:rFonts w:ascii="Marianne" w:cs="Marianne" w:eastAsia="Marianne" w:hAnsi="Marianne"/>
          <w:b/>
          <w:bCs/>
          <w:color w:val="000091"/>
          <w:sz w:val="32"/>
          <w:szCs w:val="32"/>
        </w:rPr>
        <w:t xml:space="preserve">11.2 Gouvernance et cadre opérationnel</w:t>
      </w:r>
    </w:p>
    <w:p>
      <w:pPr>
        <w:spacing w:after="160" w:line="276"/>
      </w:pPr>
      <w:r>
        <w:rPr>
          <w:rFonts w:ascii="Marianne" w:cs="Marianne" w:eastAsia="Marianne" w:hAnsi="Marianne"/>
          <w:color w:val="3A3A3A"/>
          <w:sz w:val="21"/>
          <w:szCs w:val="21"/>
        </w:rPr>
        <w:t xml:space="preserve">L’élargissement aux fonctions support s’appuie sur le cadre de gouvernance déjà formalisé pour le Vibe Lab : comité de priorisation mensuel avec les directions sponsors, revue trimestrielle avec le SNUM n+2, grille d’évaluation objective (scoring sur 50 points, 6 critères pondérés), et matrice des risques documentée (8 risques identifiés, 0 résiduel critique). Les cinq règles cardinales s’appliquent : pas de projet sans sponsor métier, périmètre données publiques, maximum 5 projets actifs, abandon à 4 semaines sans usage, transparence totale.</w:t>
      </w:r>
    </w:p>
    <w:p>
      <w:pPr>
        <w:pStyle w:val="Heading2"/>
        <w:spacing w:before="300" w:after="160"/>
      </w:pPr>
      <w:r>
        <w:rPr>
          <w:rFonts w:ascii="Marianne" w:cs="Marianne" w:eastAsia="Marianne" w:hAnsi="Marianne"/>
          <w:b/>
          <w:bCs/>
          <w:color w:val="000091"/>
          <w:sz w:val="26"/>
          <w:szCs w:val="26"/>
        </w:rPr>
        <w:t xml:space="preserve">11.3 ExcelExit : premier projet transversal</w:t>
      </w:r>
    </w:p>
    <w:p>
      <w:pPr>
        <w:spacing w:after="160" w:line="276"/>
      </w:pPr>
      <w:r>
        <w:rPr>
          <w:rFonts w:ascii="Marianne" w:cs="Marianne" w:eastAsia="Marianne" w:hAnsi="Marianne"/>
          <w:color w:val="3A3A3A"/>
          <w:sz w:val="21"/>
          <w:szCs w:val="21"/>
        </w:rPr>
        <w:t xml:space="preserve">Parmi les 16 cas d’usage identifiés, ExcelExit constitue le premier projet concret transversal. Chaque direction du secrétariat général a ses dizaines de fichiers Excel critiques — suivi RH, reporting budgétaire, planification immobilière. ExcelExit propose leur migration systématique vers Grist (grist.numerique.gouv.fr), infrastructure interministérielle opérée par la DINUM, avec des interfaces DSFR générées par le Lab. Avec un score de 47/50 sur la grille d’évaluation (le plus élevé de tous les projets évalués), ExcelExit est immédiatement réalisable, à coût marginal, et démontre la valeur du Lab pour l’ensemble des fonctions support. Le principe fondamental : la valeur repose dans les données et les formules Grist, pas dans l’interface. Si l’interface disparaît, les données restent.</w:t>
      </w:r>
    </w:p>
    <w:p>
      <w:pPr>
        <w:pStyle w:val="Heading1"/>
        <w:spacing w:before="400" w:after="200"/>
      </w:pPr>
      <w:r>
        <w:rPr>
          <w:rFonts w:ascii="Marianne" w:cs="Marianne" w:eastAsia="Marianne" w:hAnsi="Marianne"/>
          <w:b/>
          <w:bCs/>
          <w:color w:val="000091"/>
          <w:sz w:val="32"/>
          <w:szCs w:val="32"/>
        </w:rPr>
        <w:t xml:space="preserve">12. Conclusion</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6E445A" w:sz="12"/>
              <w:bottom w:val="none"/>
              <w:right w:val="none"/>
            </w:tcBorders>
            <w:shd w:fill="F3EDF0" w:val="clear"/>
            <w:tcMar>
              <w:top w:type="dxa" w:w="160"/>
              <w:left w:type="dxa" w:w="240"/>
              <w:bottom w:type="dxa" w:w="160"/>
              <w:right w:type="dxa" w:w="240"/>
            </w:tcMar>
          </w:tcPr>
          <w:p>
            <w:pPr>
              <w:spacing w:before="40" w:after="40" w:line="276"/>
            </w:pPr>
            <w:r>
              <w:rPr>
                <w:rFonts w:ascii="Marianne" w:cs="Marianne" w:eastAsia="Marianne" w:hAnsi="Marianne"/>
                <w:b/>
                <w:bCs/>
                <w:color w:val="6E445A"/>
                <w:sz w:val="21"/>
                <w:szCs w:val="21"/>
              </w:rPr>
              <w:t xml:space="preserve">Le Vibe Lab a démontré son modèle sur la communication. L’étendre aux fonctions support du secrétariat général, c’est multiplier l’impact sans changer la recette :</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b/>
                <w:bCs/>
                <w:color w:val="3A3A3A"/>
                <w:sz w:val="21"/>
                <w:szCs w:val="21"/>
              </w:rPr>
              <w:t xml:space="preserve">→  Mêmes moyens (1-3 agents, ~1 000 €/mois)</w:t>
            </w:r>
          </w:p>
          <w:p>
            <w:pPr>
              <w:spacing w:before="40" w:after="40" w:line="276"/>
            </w:pPr>
            <w:r>
              <w:rPr>
                <w:rFonts w:ascii="Marianne" w:cs="Marianne" w:eastAsia="Marianne" w:hAnsi="Marianne"/>
                <w:b/>
                <w:bCs/>
                <w:color w:val="3A3A3A"/>
                <w:sz w:val="21"/>
                <w:szCs w:val="21"/>
              </w:rPr>
              <w:t xml:space="preserve">→  Même périmètre sécurisé (données publiques, aucun SI sensible)</w:t>
            </w:r>
          </w:p>
          <w:p>
            <w:pPr>
              <w:spacing w:before="40" w:after="40" w:line="276"/>
            </w:pPr>
            <w:r>
              <w:rPr>
                <w:rFonts w:ascii="Marianne" w:cs="Marianne" w:eastAsia="Marianne" w:hAnsi="Marianne"/>
                <w:b/>
                <w:bCs/>
                <w:color w:val="3A3A3A"/>
                <w:sz w:val="21"/>
                <w:szCs w:val="21"/>
              </w:rPr>
              <w:t xml:space="preserve">→  Même méthode (prototype rapide, test utilisateur, itération)</w:t>
            </w:r>
          </w:p>
          <w:p>
            <w:pPr>
              <w:spacing w:before="40" w:after="40" w:line="276"/>
            </w:pPr>
            <w:r>
              <w:rPr>
                <w:rFonts w:ascii="Marianne" w:cs="Marianne" w:eastAsia="Marianne" w:hAnsi="Marianne"/>
                <w:b/>
                <w:bCs/>
                <w:color w:val="3A3A3A"/>
                <w:sz w:val="21"/>
                <w:szCs w:val="21"/>
              </w:rPr>
              <w:t xml:space="preserve">→  Complémentarité totale avec BercyHub (pas de chevauchement)</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b/>
                <w:bCs/>
                <w:color w:val="3A3A3A"/>
                <w:sz w:val="21"/>
                <w:szCs w:val="21"/>
              </w:rPr>
              <w:t xml:space="preserve">16 cas d’usage immédiatement réalisables, 0 risque de sécurité, 0 interférence avec les projets IA souverains.</w:t>
            </w:r>
          </w:p>
        </w:tc>
      </w:tr>
    </w:tbl>
    <w:p>
      <w:pPr>
        <w:spacing w:before="120" w:after="0"/>
      </w:pPr>
    </w:p>
    <w:p>
      <w:pPr>
        <w:spacing w:before="80" w:after="80" w:line="276"/>
        <w:jc w:val="both"/>
      </w:pPr>
      <w:r>
        <w:rPr>
          <w:rFonts w:ascii="Marianne" w:cs="Marianne" w:eastAsia="Marianne" w:hAnsi="Marianne"/>
          <w:color w:val="3A3A3A"/>
          <w:sz w:val="21"/>
          <w:szCs w:val="21"/>
        </w:rPr>
        <w:t xml:space="preserve">Le secrétariat général dispose de dizaines de problèmes concrets dont la solution existe dans des données publiques, des référentiels ouverts et des documents non classifiés. Ces problèmes n’ont jamais été traités parce que le coût d’un projet classique était disproportionné.</w:t>
      </w:r>
    </w:p>
    <w:p>
      <w:pPr>
        <w:spacing w:before="80" w:after="80" w:line="276"/>
        <w:jc w:val="both"/>
      </w:pPr>
      <w:r>
        <w:rPr>
          <w:rFonts w:ascii="Marianne" w:cs="Marianne" w:eastAsia="Marianne" w:hAnsi="Marianne"/>
          <w:b/>
          <w:bCs/>
          <w:color w:val="3A3A3A"/>
          <w:sz w:val="21"/>
          <w:szCs w:val="21"/>
        </w:rPr>
        <w:t xml:space="preserve">Le Vibe Lab change cette équation. Il ne demande presque rien — et il a déjà prouvé qu’il délivre.</w:t>
      </w:r>
    </w:p>
    <w:sectPr>
      <w:headerReference w:type="default" r:id="rId6"/>
      <w:foot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CCCCC" w:sz="1" w:space="8"/>
      </w:pBdr>
      <w:jc w:val="right"/>
    </w:pPr>
    <w:r>
      <w:rPr>
        <w:rFonts w:ascii="Marianne" w:cs="Marianne" w:eastAsia="Marianne" w:hAnsi="Marianne"/>
        <w:color w:val="999999"/>
        <w:sz w:val="16"/>
        <w:szCs w:val="16"/>
      </w:rPr>
      <w:t xml:space="preserve">MIWEB — </w:t>
    </w:r>
    <w:r>
      <w:rPr>
        <w:rFonts w:ascii="Marianne" w:cs="Marianne" w:eastAsia="Marianne" w:hAnsi="Marianne"/>
        <w:color w:val="999999"/>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000091" w:sz="2" w:space="8"/>
      </w:pBdr>
    </w:pPr>
    <w:r>
      <w:rPr>
        <w:rFonts w:ascii="Marianne" w:cs="Marianne" w:eastAsia="Marianne" w:hAnsi="Marianne"/>
        <w:color w:val="999999"/>
        <w:sz w:val="16"/>
        <w:szCs w:val="16"/>
      </w:rPr>
      <w:t xml:space="preserve">Note d’opportunité — Vibe Lab élargi — Secrétariat général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Marianne" w:cs="Marianne" w:eastAsia="Marianne" w:hAnsi="Marianne"/>
        <w:color w:val="3A3A3A"/>
        <w:sz w:val="21"/>
        <w:szCs w:val="21"/>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400" w:after="200"/>
      <w:outlineLvl w:val="0"/>
    </w:pPr>
    <w:rPr>
      <w:rFonts w:ascii="Marianne" w:cs="Marianne" w:eastAsia="Marianne" w:hAnsi="Marianne"/>
      <w:b/>
      <w:bCs/>
      <w:color w:val="000091"/>
      <w:sz w:val="32"/>
      <w:szCs w:val="32"/>
    </w:rPr>
  </w:style>
  <w:style w:type="paragraph" w:styleId="Heading2">
    <w:name w:val="Heading 2"/>
    <w:basedOn w:val="Normal"/>
    <w:next w:val="Normal"/>
    <w:qFormat/>
    <w:pPr>
      <w:spacing w:before="300" w:after="140"/>
      <w:outlineLvl w:val="1"/>
    </w:pPr>
    <w:rPr>
      <w:rFonts w:ascii="Marianne" w:cs="Marianne" w:eastAsia="Marianne" w:hAnsi="Marianne"/>
      <w:b/>
      <w:bCs/>
      <w:color w:val="000091"/>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2026-02-21T12:28:09.677Z</dcterms:created>
  <dcterms:modified xsi:type="dcterms:W3CDTF">2026-02-21T12:28:09.678Z</dcterms:modified>
</cp:coreProperties>
</file>

<file path=docProps/custom.xml><?xml version="1.0" encoding="utf-8"?>
<Properties xmlns="http://schemas.openxmlformats.org/officeDocument/2006/custom-properties" xmlns:vt="http://schemas.openxmlformats.org/officeDocument/2006/docPropsVTypes"/>
</file>